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B50A3D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5A64CF">
        <w:rPr>
          <w:rFonts w:cs="Arial"/>
          <w:color w:val="000000"/>
          <w:sz w:val="24"/>
          <w:szCs w:val="24"/>
        </w:rPr>
        <w:t>2367</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2564FD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70D31">
        <w:rPr>
          <w:rFonts w:ascii="Arial" w:hAnsi="Arial"/>
          <w:sz w:val="24"/>
          <w:lang w:val="en-US"/>
        </w:rPr>
        <w:t>7.11.3.3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17918A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70D31">
        <w:rPr>
          <w:rFonts w:ascii="Arial" w:hAnsi="Arial"/>
          <w:sz w:val="24"/>
          <w:lang w:val="en-US"/>
        </w:rPr>
        <w:t>On NB-IoT RRM measurements in non-anchor carrier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987E861" w:rsidR="00804DAC" w:rsidRDefault="00861C44" w:rsidP="00804DAC">
      <w:pPr>
        <w:rPr>
          <w:lang w:val="en-US"/>
        </w:rPr>
      </w:pPr>
      <w:r>
        <w:rPr>
          <w:lang w:val="en-US"/>
        </w:rPr>
        <w:t>In the previous two RAN4 meetings, the following agreements were made on RRM measurements in non-anchor carrier [1][2]:</w:t>
      </w:r>
    </w:p>
    <w:p w14:paraId="16AB65D0" w14:textId="6005714C" w:rsidR="00861C44" w:rsidRDefault="00861C44" w:rsidP="00804DAC">
      <w:pPr>
        <w:rPr>
          <w:lang w:val="en-US"/>
        </w:rPr>
      </w:pPr>
      <w:r w:rsidRPr="0074147F">
        <w:rPr>
          <w:noProof/>
          <w:lang w:val="en-US" w:eastAsia="zh-CN"/>
        </w:rPr>
        <mc:AlternateContent>
          <mc:Choice Requires="wps">
            <w:drawing>
              <wp:inline distT="0" distB="0" distL="0" distR="0" wp14:anchorId="74FB4DFB" wp14:editId="7DC48B1A">
                <wp:extent cx="5881420" cy="2627194"/>
                <wp:effectExtent l="0" t="0" r="24130" b="2095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627194"/>
                        </a:xfrm>
                        <a:prstGeom prst="rect">
                          <a:avLst/>
                        </a:prstGeom>
                        <a:solidFill>
                          <a:srgbClr val="FFFFFF"/>
                        </a:solidFill>
                        <a:ln w="9525">
                          <a:solidFill>
                            <a:srgbClr val="000000"/>
                          </a:solidFill>
                          <a:miter lim="800000"/>
                          <a:headEnd/>
                          <a:tailEnd/>
                        </a:ln>
                      </wps:spPr>
                      <wps:txbx>
                        <w:txbxContent>
                          <w:p w14:paraId="1372BE31" w14:textId="77777777" w:rsidR="00861C44" w:rsidRPr="00861C44" w:rsidRDefault="00861C44" w:rsidP="00861C44">
                            <w:pPr>
                              <w:spacing w:after="0"/>
                              <w:rPr>
                                <w:rFonts w:eastAsia="Batang"/>
                                <w:lang w:val="en-US" w:eastAsia="zh-CN"/>
                              </w:rPr>
                            </w:pPr>
                            <w:r w:rsidRPr="00861C44">
                              <w:rPr>
                                <w:rFonts w:eastAsia="Batang"/>
                                <w:lang w:val="en-US" w:eastAsia="zh-CN"/>
                              </w:rPr>
                              <w:t>For RRM measurements on non-anchor carriers based on NRS</w:t>
                            </w:r>
                          </w:p>
                          <w:p w14:paraId="33F71CF7" w14:textId="77777777" w:rsidR="00861C44" w:rsidRPr="00861C44" w:rsidRDefault="00861C44" w:rsidP="00861C44">
                            <w:pPr>
                              <w:numPr>
                                <w:ilvl w:val="1"/>
                                <w:numId w:val="36"/>
                              </w:numPr>
                              <w:tabs>
                                <w:tab w:val="clear" w:pos="1440"/>
                                <w:tab w:val="num" w:pos="1080"/>
                              </w:tabs>
                              <w:spacing w:after="0"/>
                              <w:ind w:left="1080"/>
                              <w:rPr>
                                <w:rFonts w:eastAsia="Batang"/>
                                <w:lang w:val="en-US" w:eastAsia="zh-CN"/>
                              </w:rPr>
                            </w:pPr>
                            <w:r w:rsidRPr="00861C44">
                              <w:rPr>
                                <w:rFonts w:eastAsia="Batang"/>
                                <w:lang w:val="en-US" w:eastAsia="zh-CN"/>
                              </w:rPr>
                              <w:t>Skip the NRSRQ measurement on non-anchor carrier</w:t>
                            </w:r>
                          </w:p>
                          <w:p w14:paraId="2A1F0E4B" w14:textId="77777777" w:rsidR="00861C44" w:rsidRPr="00861C44" w:rsidRDefault="00861C44" w:rsidP="00861C44">
                            <w:pPr>
                              <w:numPr>
                                <w:ilvl w:val="1"/>
                                <w:numId w:val="36"/>
                              </w:numPr>
                              <w:tabs>
                                <w:tab w:val="clear" w:pos="1440"/>
                                <w:tab w:val="num" w:pos="1080"/>
                              </w:tabs>
                              <w:spacing w:after="0"/>
                              <w:ind w:left="1080"/>
                              <w:rPr>
                                <w:rFonts w:eastAsia="Batang"/>
                                <w:lang w:val="en-US" w:eastAsia="zh-CN"/>
                              </w:rPr>
                            </w:pPr>
                            <w:r w:rsidRPr="00861C44">
                              <w:rPr>
                                <w:rFonts w:eastAsia="Batang"/>
                                <w:lang w:val="en-US" w:eastAsia="zh-CN"/>
                              </w:rPr>
                              <w:t>The existing criteria depending on NRSRQ are not feasible on non-anchor carrier</w:t>
                            </w:r>
                          </w:p>
                          <w:p w14:paraId="04740F91" w14:textId="23F3C9A8" w:rsidR="00861C44" w:rsidRDefault="00861C44" w:rsidP="00861C44">
                            <w:pPr>
                              <w:numPr>
                                <w:ilvl w:val="1"/>
                                <w:numId w:val="36"/>
                              </w:numPr>
                              <w:tabs>
                                <w:tab w:val="clear" w:pos="1440"/>
                                <w:tab w:val="num" w:pos="1080"/>
                              </w:tabs>
                              <w:spacing w:after="0"/>
                              <w:ind w:left="1080"/>
                              <w:rPr>
                                <w:rFonts w:eastAsia="Batang"/>
                                <w:lang w:val="en-US" w:eastAsia="zh-CN"/>
                              </w:rPr>
                            </w:pPr>
                            <w:r w:rsidRPr="00861C44">
                              <w:rPr>
                                <w:rFonts w:eastAsia="Batang"/>
                                <w:lang w:val="en-US" w:eastAsia="zh-CN"/>
                              </w:rPr>
                              <w:t>It is left to RAN2 whether to modify the existing S criteria or define new criteria</w:t>
                            </w:r>
                          </w:p>
                          <w:p w14:paraId="5A8BF3F8" w14:textId="461B44F0" w:rsidR="00861C44" w:rsidRDefault="00861C44" w:rsidP="00861C44">
                            <w:pPr>
                              <w:spacing w:after="0"/>
                              <w:rPr>
                                <w:rFonts w:eastAsia="Batang"/>
                                <w:lang w:val="en-US" w:eastAsia="zh-CN"/>
                              </w:rPr>
                            </w:pPr>
                          </w:p>
                          <w:p w14:paraId="24E4BE46" w14:textId="77777777" w:rsidR="00861C44" w:rsidRPr="001B7FB1" w:rsidRDefault="00861C44" w:rsidP="00861C44">
                            <w:r w:rsidRPr="001B7FB1">
                              <w:t>Per the agreement in RAN4 and if configured by the network, serving cell NRSRP measurements on the non-anchor paging carrier are feasible provided that:</w:t>
                            </w:r>
                          </w:p>
                          <w:p w14:paraId="76645A0B" w14:textId="77777777" w:rsidR="00861C44" w:rsidRPr="001B7FB1" w:rsidRDefault="00861C44" w:rsidP="00861C44">
                            <w:pPr>
                              <w:numPr>
                                <w:ilvl w:val="0"/>
                                <w:numId w:val="37"/>
                              </w:numPr>
                              <w:overflowPunct w:val="0"/>
                              <w:autoSpaceDE w:val="0"/>
                              <w:autoSpaceDN w:val="0"/>
                              <w:adjustRightInd w:val="0"/>
                              <w:textAlignment w:val="baseline"/>
                            </w:pPr>
                            <w:r w:rsidRPr="001B7FB1">
                              <w:t xml:space="preserve">The relaxed cell monitoring criteria defined in TS 36.304 clause 5.2.4.12 are met, and </w:t>
                            </w:r>
                          </w:p>
                          <w:p w14:paraId="02DF574E" w14:textId="77777777" w:rsidR="00861C44" w:rsidRPr="001B7FB1" w:rsidRDefault="00861C44" w:rsidP="00861C44">
                            <w:pPr>
                              <w:numPr>
                                <w:ilvl w:val="0"/>
                                <w:numId w:val="37"/>
                              </w:numPr>
                              <w:overflowPunct w:val="0"/>
                              <w:autoSpaceDE w:val="0"/>
                              <w:autoSpaceDN w:val="0"/>
                              <w:adjustRightInd w:val="0"/>
                              <w:textAlignment w:val="baseline"/>
                            </w:pPr>
                            <w:r w:rsidRPr="001B7FB1">
                              <w:t xml:space="preserve">Transmit power difference of the signals/channels between anchor carrier and non-anchor paging carrier is signalled to the UE via a parameter </w:t>
                            </w:r>
                            <w:proofErr w:type="gramStart"/>
                            <w:r w:rsidRPr="001B7FB1">
                              <w:t>similar to</w:t>
                            </w:r>
                            <w:proofErr w:type="gramEnd"/>
                            <w:r w:rsidRPr="001B7FB1">
                              <w:t xml:space="preserve"> </w:t>
                            </w:r>
                            <w:r w:rsidRPr="001B7FB1">
                              <w:rPr>
                                <w:i/>
                              </w:rPr>
                              <w:t>nrs-PowerOffsetNonAnchor</w:t>
                            </w:r>
                            <w:r w:rsidRPr="001B7FB1">
                              <w:t>, and</w:t>
                            </w:r>
                          </w:p>
                          <w:p w14:paraId="4D24EFD3" w14:textId="77777777" w:rsidR="00861C44" w:rsidRPr="001B7FB1" w:rsidRDefault="00861C44" w:rsidP="00861C44">
                            <w:pPr>
                              <w:numPr>
                                <w:ilvl w:val="0"/>
                                <w:numId w:val="37"/>
                              </w:numPr>
                              <w:overflowPunct w:val="0"/>
                              <w:autoSpaceDE w:val="0"/>
                              <w:autoSpaceDN w:val="0"/>
                              <w:adjustRightInd w:val="0"/>
                              <w:textAlignment w:val="baseline"/>
                            </w:pPr>
                            <w:r w:rsidRPr="001B7FB1">
                              <w:t>UE is not configured with any positioning measurements, and</w:t>
                            </w:r>
                          </w:p>
                          <w:p w14:paraId="1D115D1B" w14:textId="77777777" w:rsidR="00861C44" w:rsidRPr="001B7FB1" w:rsidRDefault="00861C44" w:rsidP="00861C44">
                            <w:pPr>
                              <w:numPr>
                                <w:ilvl w:val="0"/>
                                <w:numId w:val="37"/>
                              </w:numPr>
                              <w:overflowPunct w:val="0"/>
                              <w:autoSpaceDE w:val="0"/>
                              <w:autoSpaceDN w:val="0"/>
                              <w:adjustRightInd w:val="0"/>
                              <w:textAlignment w:val="baseline"/>
                            </w:pPr>
                            <w:r w:rsidRPr="001B7FB1">
                              <w:t xml:space="preserve">There are </w:t>
                            </w:r>
                            <w:proofErr w:type="gramStart"/>
                            <w:r w:rsidRPr="001B7FB1">
                              <w:t>sufficient number of</w:t>
                            </w:r>
                            <w:proofErr w:type="gramEnd"/>
                            <w:r w:rsidRPr="001B7FB1">
                              <w:t xml:space="preserve"> NRS subframes available for measurements in the non-anchor paging carrier as being discussed in RAN1.</w:t>
                            </w:r>
                          </w:p>
                          <w:p w14:paraId="1F308ED8" w14:textId="77777777" w:rsidR="00861C44" w:rsidRPr="00861C44" w:rsidRDefault="00861C44" w:rsidP="00861C44">
                            <w:pPr>
                              <w:spacing w:after="0"/>
                              <w:rPr>
                                <w:rFonts w:eastAsia="Batang"/>
                                <w:lang w:val="en-US" w:eastAsia="zh-CN"/>
                              </w:rPr>
                            </w:pPr>
                          </w:p>
                          <w:p w14:paraId="19B15013" w14:textId="262EAE15" w:rsidR="00861C44" w:rsidRDefault="00861C44" w:rsidP="00861C44">
                            <w:pPr>
                              <w:spacing w:after="0"/>
                              <w:rPr>
                                <w:rFonts w:eastAsia="Batang"/>
                                <w:lang w:eastAsia="zh-CN"/>
                              </w:rPr>
                            </w:pPr>
                          </w:p>
                          <w:p w14:paraId="67D91D30" w14:textId="77777777" w:rsidR="00861C44" w:rsidRPr="00B01C30" w:rsidRDefault="00861C44" w:rsidP="00861C44">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74FB4DFB" id="_x0000_t202" coordsize="21600,21600" o:spt="202" path="m,l,21600r21600,l21600,xe">
                <v:stroke joinstyle="miter"/>
                <v:path gradientshapeok="t" o:connecttype="rect"/>
              </v:shapetype>
              <v:shape id="Text Box 1" o:spid="_x0000_s1026" type="#_x0000_t202" style="width:463.1pt;height:20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">
                <v:textbox>
                  <w:txbxContent>
                    <w:p w14:paraId="1372BE31" w14:textId="77777777" w:rsidR="00861C44" w:rsidRPr="00861C44" w:rsidRDefault="00861C44" w:rsidP="00861C44">
                      <w:pPr>
                        <w:spacing w:after="0"/>
                        <w:rPr>
                          <w:rFonts w:eastAsia="Batang"/>
                          <w:lang w:val="en-US" w:eastAsia="zh-CN"/>
                        </w:rPr>
                      </w:pPr>
                      <w:r w:rsidRPr="00861C44">
                        <w:rPr>
                          <w:rFonts w:eastAsia="Batang"/>
                          <w:lang w:val="en-US" w:eastAsia="zh-CN"/>
                        </w:rPr>
                        <w:t>For RRM measurements on non-anchor carriers based on NRS</w:t>
                      </w:r>
                    </w:p>
                    <w:p w14:paraId="33F71CF7" w14:textId="77777777" w:rsidR="00861C44" w:rsidRPr="00861C44" w:rsidRDefault="00861C44" w:rsidP="00861C44">
                      <w:pPr>
                        <w:numPr>
                          <w:ilvl w:val="1"/>
                          <w:numId w:val="36"/>
                        </w:numPr>
                        <w:tabs>
                          <w:tab w:val="clear" w:pos="1440"/>
                          <w:tab w:val="num" w:pos="1080"/>
                        </w:tabs>
                        <w:spacing w:after="0"/>
                        <w:ind w:left="1080"/>
                        <w:rPr>
                          <w:rFonts w:eastAsia="Batang"/>
                          <w:lang w:val="en-US" w:eastAsia="zh-CN"/>
                        </w:rPr>
                      </w:pPr>
                      <w:r w:rsidRPr="00861C44">
                        <w:rPr>
                          <w:rFonts w:eastAsia="Batang"/>
                          <w:lang w:val="en-US" w:eastAsia="zh-CN"/>
                        </w:rPr>
                        <w:t>Skip the NRSRQ measurement on non-anchor carrier</w:t>
                      </w:r>
                    </w:p>
                    <w:p w14:paraId="2A1F0E4B" w14:textId="77777777" w:rsidR="00861C44" w:rsidRPr="00861C44" w:rsidRDefault="00861C44" w:rsidP="00861C44">
                      <w:pPr>
                        <w:numPr>
                          <w:ilvl w:val="1"/>
                          <w:numId w:val="36"/>
                        </w:numPr>
                        <w:tabs>
                          <w:tab w:val="clear" w:pos="1440"/>
                          <w:tab w:val="num" w:pos="1080"/>
                        </w:tabs>
                        <w:spacing w:after="0"/>
                        <w:ind w:left="1080"/>
                        <w:rPr>
                          <w:rFonts w:eastAsia="Batang"/>
                          <w:lang w:val="en-US" w:eastAsia="zh-CN"/>
                        </w:rPr>
                      </w:pPr>
                      <w:r w:rsidRPr="00861C44">
                        <w:rPr>
                          <w:rFonts w:eastAsia="Batang"/>
                          <w:lang w:val="en-US" w:eastAsia="zh-CN"/>
                        </w:rPr>
                        <w:t>The existing criteria depending on NRSRQ are not feasible on non-anchor carrier</w:t>
                      </w:r>
                    </w:p>
                    <w:p w14:paraId="04740F91" w14:textId="23F3C9A8" w:rsidR="00861C44" w:rsidRDefault="00861C44" w:rsidP="00861C44">
                      <w:pPr>
                        <w:numPr>
                          <w:ilvl w:val="1"/>
                          <w:numId w:val="36"/>
                        </w:numPr>
                        <w:tabs>
                          <w:tab w:val="clear" w:pos="1440"/>
                          <w:tab w:val="num" w:pos="1080"/>
                        </w:tabs>
                        <w:spacing w:after="0"/>
                        <w:ind w:left="1080"/>
                        <w:rPr>
                          <w:rFonts w:eastAsia="Batang"/>
                          <w:lang w:val="en-US" w:eastAsia="zh-CN"/>
                        </w:rPr>
                      </w:pPr>
                      <w:r w:rsidRPr="00861C44">
                        <w:rPr>
                          <w:rFonts w:eastAsia="Batang"/>
                          <w:lang w:val="en-US" w:eastAsia="zh-CN"/>
                        </w:rPr>
                        <w:t>It is left to RAN2 whether to modify the existing S criteria or define new criteria</w:t>
                      </w:r>
                    </w:p>
                    <w:p w14:paraId="5A8BF3F8" w14:textId="461B44F0" w:rsidR="00861C44" w:rsidRDefault="00861C44" w:rsidP="00861C44">
                      <w:pPr>
                        <w:spacing w:after="0"/>
                        <w:rPr>
                          <w:rFonts w:eastAsia="Batang"/>
                          <w:lang w:val="en-US" w:eastAsia="zh-CN"/>
                        </w:rPr>
                      </w:pPr>
                    </w:p>
                    <w:p w14:paraId="24E4BE46" w14:textId="77777777" w:rsidR="00861C44" w:rsidRPr="001B7FB1" w:rsidRDefault="00861C44" w:rsidP="00861C44">
                      <w:r w:rsidRPr="001B7FB1">
                        <w:t>Per the agreement in RAN4 and if configured by the network, serving cell NRSRP measurements on the non-anchor paging carrier are feasible provided that:</w:t>
                      </w:r>
                    </w:p>
                    <w:p w14:paraId="76645A0B" w14:textId="77777777" w:rsidR="00861C44" w:rsidRPr="001B7FB1" w:rsidRDefault="00861C44" w:rsidP="00861C44">
                      <w:pPr>
                        <w:numPr>
                          <w:ilvl w:val="0"/>
                          <w:numId w:val="37"/>
                        </w:numPr>
                        <w:overflowPunct w:val="0"/>
                        <w:autoSpaceDE w:val="0"/>
                        <w:autoSpaceDN w:val="0"/>
                        <w:adjustRightInd w:val="0"/>
                        <w:textAlignment w:val="baseline"/>
                      </w:pPr>
                      <w:r w:rsidRPr="001B7FB1">
                        <w:t xml:space="preserve">The relaxed cell monitoring criteria defined in TS 36.304 clause 5.2.4.12 are met, and </w:t>
                      </w:r>
                    </w:p>
                    <w:p w14:paraId="02DF574E" w14:textId="77777777" w:rsidR="00861C44" w:rsidRPr="001B7FB1" w:rsidRDefault="00861C44" w:rsidP="00861C44">
                      <w:pPr>
                        <w:numPr>
                          <w:ilvl w:val="0"/>
                          <w:numId w:val="37"/>
                        </w:numPr>
                        <w:overflowPunct w:val="0"/>
                        <w:autoSpaceDE w:val="0"/>
                        <w:autoSpaceDN w:val="0"/>
                        <w:adjustRightInd w:val="0"/>
                        <w:textAlignment w:val="baseline"/>
                      </w:pPr>
                      <w:r w:rsidRPr="001B7FB1">
                        <w:t xml:space="preserve">Transmit power difference of the signals/channels between anchor carrier and non-anchor paging carrier is signalled to the UE via a parameter similar to </w:t>
                      </w:r>
                      <w:proofErr w:type="spellStart"/>
                      <w:r w:rsidRPr="001B7FB1">
                        <w:rPr>
                          <w:i/>
                        </w:rPr>
                        <w:t>nrs-PowerOffsetNonAnchor</w:t>
                      </w:r>
                      <w:proofErr w:type="spellEnd"/>
                      <w:r w:rsidRPr="001B7FB1">
                        <w:t>, and</w:t>
                      </w:r>
                    </w:p>
                    <w:p w14:paraId="4D24EFD3" w14:textId="77777777" w:rsidR="00861C44" w:rsidRPr="001B7FB1" w:rsidRDefault="00861C44" w:rsidP="00861C44">
                      <w:pPr>
                        <w:numPr>
                          <w:ilvl w:val="0"/>
                          <w:numId w:val="37"/>
                        </w:numPr>
                        <w:overflowPunct w:val="0"/>
                        <w:autoSpaceDE w:val="0"/>
                        <w:autoSpaceDN w:val="0"/>
                        <w:adjustRightInd w:val="0"/>
                        <w:textAlignment w:val="baseline"/>
                      </w:pPr>
                      <w:r w:rsidRPr="001B7FB1">
                        <w:t>UE is not configured with any positioning measurements, and</w:t>
                      </w:r>
                    </w:p>
                    <w:p w14:paraId="1D115D1B" w14:textId="77777777" w:rsidR="00861C44" w:rsidRPr="001B7FB1" w:rsidRDefault="00861C44" w:rsidP="00861C44">
                      <w:pPr>
                        <w:numPr>
                          <w:ilvl w:val="0"/>
                          <w:numId w:val="37"/>
                        </w:numPr>
                        <w:overflowPunct w:val="0"/>
                        <w:autoSpaceDE w:val="0"/>
                        <w:autoSpaceDN w:val="0"/>
                        <w:adjustRightInd w:val="0"/>
                        <w:textAlignment w:val="baseline"/>
                      </w:pPr>
                      <w:r w:rsidRPr="001B7FB1">
                        <w:t>There are sufficient number of NRS subframes available for measurements in the non-anchor paging carrier as being discussed in RAN1.</w:t>
                      </w:r>
                    </w:p>
                    <w:p w14:paraId="1F308ED8" w14:textId="77777777" w:rsidR="00861C44" w:rsidRPr="00861C44" w:rsidRDefault="00861C44" w:rsidP="00861C44">
                      <w:pPr>
                        <w:spacing w:after="0"/>
                        <w:rPr>
                          <w:rFonts w:eastAsia="Batang"/>
                          <w:lang w:val="en-US" w:eastAsia="zh-CN"/>
                        </w:rPr>
                      </w:pPr>
                    </w:p>
                    <w:p w14:paraId="19B15013" w14:textId="262EAE15" w:rsidR="00861C44" w:rsidRDefault="00861C44" w:rsidP="00861C44">
                      <w:pPr>
                        <w:spacing w:after="0"/>
                        <w:rPr>
                          <w:rFonts w:eastAsia="Batang"/>
                          <w:lang w:eastAsia="zh-CN"/>
                        </w:rPr>
                      </w:pPr>
                    </w:p>
                    <w:p w14:paraId="67D91D30" w14:textId="77777777" w:rsidR="00861C44" w:rsidRPr="00B01C30" w:rsidRDefault="00861C44" w:rsidP="00861C44">
                      <w:pPr>
                        <w:spacing w:after="0"/>
                        <w:rPr>
                          <w:rFonts w:eastAsia="Batang"/>
                          <w:lang w:eastAsia="zh-CN"/>
                        </w:rPr>
                      </w:pPr>
                    </w:p>
                  </w:txbxContent>
                </v:textbox>
                <w10:anchorlock/>
              </v:shape>
            </w:pict>
          </mc:Fallback>
        </mc:AlternateContent>
      </w:r>
    </w:p>
    <w:p w14:paraId="4BD84E58" w14:textId="2FF51D2A" w:rsidR="0096375B" w:rsidRPr="00804DAC" w:rsidRDefault="0096375B" w:rsidP="00804DAC">
      <w:pPr>
        <w:rPr>
          <w:lang w:val="en-US"/>
        </w:rPr>
      </w:pPr>
      <w:r>
        <w:rPr>
          <w:lang w:val="en-US"/>
        </w:rPr>
        <w:t xml:space="preserve">In our previous paper [3], we discussed aspects of relaxed neighbor cell monitoring and the conditions to enter and exit that state. However, there were no agreements on this </w:t>
      </w:r>
      <w:proofErr w:type="gramStart"/>
      <w:r>
        <w:rPr>
          <w:lang w:val="en-US"/>
        </w:rPr>
        <w:t>topic</w:t>
      </w:r>
      <w:proofErr w:type="gramEnd"/>
      <w:r>
        <w:rPr>
          <w:lang w:val="en-US"/>
        </w:rPr>
        <w:t xml:space="preserve"> and we reiterate some of our views in this paper.</w:t>
      </w:r>
    </w:p>
    <w:p w14:paraId="530805C1" w14:textId="27F008D5" w:rsidR="0005179F" w:rsidRDefault="0096375B" w:rsidP="0096375B">
      <w:pPr>
        <w:pStyle w:val="Heading1"/>
        <w:rPr>
          <w:lang w:val="en-US"/>
        </w:rPr>
      </w:pPr>
      <w:r>
        <w:rPr>
          <w:lang w:val="en-US"/>
        </w:rPr>
        <w:t>Discussion</w:t>
      </w:r>
    </w:p>
    <w:p w14:paraId="48892F1C" w14:textId="68211D95" w:rsidR="0096375B" w:rsidRPr="001A7C01" w:rsidRDefault="0096375B" w:rsidP="0096375B">
      <w:pPr>
        <w:rPr>
          <w:rFonts w:eastAsia="SimSun"/>
          <w:lang w:eastAsia="zh-CN"/>
        </w:rPr>
      </w:pPr>
      <w:r>
        <w:rPr>
          <w:bCs/>
        </w:rPr>
        <w:t xml:space="preserve">A concern that was raised in the RAN4#91 meeting was whether the existing parameter </w:t>
      </w:r>
      <w:r w:rsidRPr="000A3C2F">
        <w:rPr>
          <w:bCs/>
          <w:i/>
        </w:rPr>
        <w:t>nrs-PowerOffsetNonAnchor</w:t>
      </w:r>
      <w:r>
        <w:rPr>
          <w:bCs/>
          <w:i/>
        </w:rPr>
        <w:t xml:space="preserve"> </w:t>
      </w:r>
      <w:r>
        <w:rPr>
          <w:bCs/>
          <w:iCs/>
        </w:rPr>
        <w:t xml:space="preserve">is </w:t>
      </w:r>
      <w:proofErr w:type="gramStart"/>
      <w:r>
        <w:rPr>
          <w:bCs/>
          <w:iCs/>
        </w:rPr>
        <w:t>sufficient</w:t>
      </w:r>
      <w:proofErr w:type="gramEnd"/>
      <w:r>
        <w:rPr>
          <w:bCs/>
          <w:iCs/>
        </w:rPr>
        <w:t xml:space="preserve"> for NRSRP translation or a new parameter similar to it should be introduced with possible different range and/or granularity. Per TS 36.213 clause 16.2.2, the downlink NRS EPRE can be derived from the downlink NRS transmit power given by </w:t>
      </w:r>
      <w:r w:rsidRPr="001A7C01">
        <w:rPr>
          <w:rFonts w:hint="eastAsia"/>
          <w:i/>
        </w:rPr>
        <w:t>nrs-Power</w:t>
      </w:r>
      <w:r w:rsidRPr="001A7C01">
        <w:t xml:space="preserve"> </w:t>
      </w:r>
      <w:r w:rsidRPr="001A7C01">
        <w:rPr>
          <w:rFonts w:hint="eastAsia"/>
        </w:rPr>
        <w:t xml:space="preserve">+ </w:t>
      </w:r>
      <w:r w:rsidRPr="001A7C01">
        <w:rPr>
          <w:rFonts w:hint="eastAsia"/>
          <w:i/>
        </w:rPr>
        <w:t>nrs-Power</w:t>
      </w:r>
      <w:r w:rsidRPr="001A7C01">
        <w:rPr>
          <w:i/>
        </w:rPr>
        <w:t>Offset</w:t>
      </w:r>
      <w:r w:rsidRPr="001A7C01">
        <w:rPr>
          <w:rFonts w:hint="eastAsia"/>
          <w:i/>
        </w:rPr>
        <w:t>NonAnchor</w:t>
      </w:r>
      <w:r w:rsidRPr="001A7C01">
        <w:rPr>
          <w:rFonts w:hint="eastAsia"/>
          <w:i/>
          <w:lang w:eastAsia="zh-CN"/>
        </w:rPr>
        <w:t>,</w:t>
      </w:r>
      <w:r w:rsidRPr="001A7C01">
        <w:rPr>
          <w:rFonts w:hint="eastAsia"/>
          <w:lang w:eastAsia="zh-CN"/>
        </w:rPr>
        <w:t xml:space="preserve"> where</w:t>
      </w:r>
      <w:r w:rsidRPr="001A7C01">
        <w:t xml:space="preserve"> the parameter </w:t>
      </w:r>
      <w:r w:rsidRPr="001A7C01">
        <w:rPr>
          <w:rFonts w:eastAsia="SimSun" w:hint="eastAsia"/>
          <w:i/>
          <w:lang w:eastAsia="zh-CN"/>
        </w:rPr>
        <w:t>nrs-Power</w:t>
      </w:r>
      <w:r w:rsidRPr="001A7C01">
        <w:rPr>
          <w:iCs/>
        </w:rPr>
        <w:t xml:space="preserve"> is </w:t>
      </w:r>
      <w:r w:rsidRPr="001A7C01">
        <w:t>provided by higher layers</w:t>
      </w:r>
      <w:r w:rsidRPr="001A7C01">
        <w:rPr>
          <w:rFonts w:hint="eastAsia"/>
          <w:lang w:eastAsia="zh-CN"/>
        </w:rPr>
        <w:t xml:space="preserve"> and </w:t>
      </w:r>
      <w:r w:rsidRPr="001A7C01">
        <w:rPr>
          <w:rFonts w:hint="eastAsia"/>
          <w:i/>
          <w:lang w:eastAsia="zh-CN"/>
        </w:rPr>
        <w:t>nrs-powerOffsetNonAnchor</w:t>
      </w:r>
      <w:r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14:paraId="51E117E4" w14:textId="77777777" w:rsidR="0096375B" w:rsidRDefault="0096375B" w:rsidP="0096375B">
      <w:pPr>
        <w:rPr>
          <w:bCs/>
          <w:iCs/>
        </w:rPr>
      </w:pPr>
      <w:r>
        <w:rPr>
          <w:bCs/>
          <w:iCs/>
        </w:rPr>
        <w:t xml:space="preserve">The parameter </w:t>
      </w:r>
      <w:r w:rsidRPr="007871E0">
        <w:rPr>
          <w:bCs/>
          <w:i/>
        </w:rPr>
        <w:t>nrs-Power</w:t>
      </w:r>
      <w:r>
        <w:rPr>
          <w:bCs/>
          <w:iCs/>
        </w:rPr>
        <w:t xml:space="preserve"> is signalled to UE in units of dBm with a range of [-60, 50] as defined in TS 36.331:</w:t>
      </w:r>
    </w:p>
    <w:p w14:paraId="435E740C" w14:textId="77777777" w:rsidR="0096375B" w:rsidRDefault="0096375B" w:rsidP="0096375B">
      <w:pPr>
        <w:rPr>
          <w:bCs/>
          <w:iCs/>
        </w:rPr>
      </w:pPr>
      <w:r w:rsidRPr="007871E0">
        <w:rPr>
          <w:bCs/>
          <w:iCs/>
          <w:noProof/>
        </w:rPr>
        <w:lastRenderedPageBreak/>
        <w:drawing>
          <wp:inline distT="0" distB="0" distL="0" distR="0" wp14:anchorId="2BA87A1C" wp14:editId="79614641">
            <wp:extent cx="6078220" cy="1626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220" cy="1626235"/>
                    </a:xfrm>
                    <a:prstGeom prst="rect">
                      <a:avLst/>
                    </a:prstGeom>
                    <a:noFill/>
                    <a:ln>
                      <a:noFill/>
                    </a:ln>
                  </pic:spPr>
                </pic:pic>
              </a:graphicData>
            </a:graphic>
          </wp:inline>
        </w:drawing>
      </w:r>
    </w:p>
    <w:p w14:paraId="1996D19E" w14:textId="77777777" w:rsidR="0096375B" w:rsidRDefault="0096375B" w:rsidP="0096375B">
      <w:pPr>
        <w:rPr>
          <w:bCs/>
          <w:iCs/>
        </w:rPr>
      </w:pPr>
      <w:r>
        <w:rPr>
          <w:bCs/>
          <w:iCs/>
        </w:rPr>
        <w:t xml:space="preserve">The parameter </w:t>
      </w:r>
      <w:r w:rsidRPr="000A3C2F">
        <w:rPr>
          <w:bCs/>
          <w:i/>
        </w:rPr>
        <w:t>nrs-PowerOffsetNonAnchor</w:t>
      </w:r>
      <w:r>
        <w:rPr>
          <w:bCs/>
          <w:i/>
        </w:rPr>
        <w:t xml:space="preserve"> </w:t>
      </w:r>
      <w:r>
        <w:rPr>
          <w:bCs/>
          <w:iCs/>
        </w:rPr>
        <w:t>is in units of dBm and defined in TS 36.331 for the set {-12, -10, -8, -6, -4, -2, 0, 3}:</w:t>
      </w:r>
    </w:p>
    <w:p w14:paraId="49F46B65" w14:textId="77777777" w:rsidR="0096375B" w:rsidRDefault="0096375B" w:rsidP="0096375B">
      <w:pPr>
        <w:rPr>
          <w:bCs/>
          <w:iCs/>
        </w:rPr>
      </w:pPr>
      <w:r w:rsidRPr="007871E0">
        <w:rPr>
          <w:bCs/>
          <w:iCs/>
          <w:noProof/>
        </w:rPr>
        <w:drawing>
          <wp:inline distT="0" distB="0" distL="0" distR="0" wp14:anchorId="23D133C3" wp14:editId="2BBB74F7">
            <wp:extent cx="6078220" cy="3022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8220" cy="302260"/>
                    </a:xfrm>
                    <a:prstGeom prst="rect">
                      <a:avLst/>
                    </a:prstGeom>
                    <a:noFill/>
                    <a:ln>
                      <a:noFill/>
                    </a:ln>
                  </pic:spPr>
                </pic:pic>
              </a:graphicData>
            </a:graphic>
          </wp:inline>
        </w:drawing>
      </w:r>
    </w:p>
    <w:p w14:paraId="40C8E918" w14:textId="77777777" w:rsidR="0096375B" w:rsidRDefault="0096375B" w:rsidP="0096375B">
      <w:pPr>
        <w:rPr>
          <w:bCs/>
          <w:iCs/>
        </w:rPr>
      </w:pPr>
      <w:r w:rsidRPr="007871E0">
        <w:rPr>
          <w:bCs/>
          <w:iCs/>
          <w:noProof/>
        </w:rPr>
        <w:drawing>
          <wp:inline distT="0" distB="0" distL="0" distR="0" wp14:anchorId="5182F940" wp14:editId="28A0FE11">
            <wp:extent cx="6078220" cy="5092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8220" cy="509270"/>
                    </a:xfrm>
                    <a:prstGeom prst="rect">
                      <a:avLst/>
                    </a:prstGeom>
                    <a:noFill/>
                    <a:ln>
                      <a:noFill/>
                    </a:ln>
                  </pic:spPr>
                </pic:pic>
              </a:graphicData>
            </a:graphic>
          </wp:inline>
        </w:drawing>
      </w:r>
    </w:p>
    <w:p w14:paraId="76A30AAB" w14:textId="77777777" w:rsidR="0096375B" w:rsidRDefault="0096375B" w:rsidP="0096375B">
      <w:pPr>
        <w:rPr>
          <w:iCs/>
        </w:rPr>
      </w:pPr>
      <w:r>
        <w:rPr>
          <w:bCs/>
          <w:iCs/>
        </w:rPr>
        <w:t xml:space="preserve">Hence, the combination of the two parameters </w:t>
      </w:r>
      <w:r w:rsidRPr="001A7C01">
        <w:rPr>
          <w:rFonts w:hint="eastAsia"/>
          <w:i/>
        </w:rPr>
        <w:t>nrs-Power</w:t>
      </w:r>
      <w:r w:rsidRPr="001A7C01">
        <w:t xml:space="preserve"> </w:t>
      </w:r>
      <w:r>
        <w:t>and</w:t>
      </w:r>
      <w:r w:rsidRPr="001A7C01">
        <w:rPr>
          <w:rFonts w:hint="eastAsia"/>
        </w:rPr>
        <w:t xml:space="preserve"> </w:t>
      </w:r>
      <w:r w:rsidRPr="001A7C01">
        <w:rPr>
          <w:rFonts w:hint="eastAsia"/>
          <w:i/>
        </w:rPr>
        <w:t>nrs-Power</w:t>
      </w:r>
      <w:r w:rsidRPr="001A7C01">
        <w:rPr>
          <w:i/>
        </w:rPr>
        <w:t>Offset</w:t>
      </w:r>
      <w:r w:rsidRPr="001A7C01">
        <w:rPr>
          <w:rFonts w:hint="eastAsia"/>
          <w:i/>
        </w:rPr>
        <w:t>NonAnchor</w:t>
      </w:r>
      <w:r>
        <w:rPr>
          <w:i/>
        </w:rPr>
        <w:t xml:space="preserve"> </w:t>
      </w:r>
      <w:r>
        <w:rPr>
          <w:iCs/>
        </w:rPr>
        <w:t xml:space="preserve">cover a wide range of NRS EPRE and the parameter </w:t>
      </w:r>
      <w:r w:rsidRPr="001A7C01">
        <w:rPr>
          <w:rFonts w:hint="eastAsia"/>
          <w:i/>
        </w:rPr>
        <w:t>nrs-Power</w:t>
      </w:r>
      <w:r w:rsidRPr="001A7C01">
        <w:rPr>
          <w:i/>
        </w:rPr>
        <w:t>Offset</w:t>
      </w:r>
      <w:r w:rsidRPr="001A7C01">
        <w:rPr>
          <w:rFonts w:hint="eastAsia"/>
          <w:i/>
        </w:rPr>
        <w:t>NonAnchor</w:t>
      </w:r>
      <w:r>
        <w:rPr>
          <w:i/>
        </w:rPr>
        <w:t xml:space="preserve"> </w:t>
      </w:r>
      <w:r>
        <w:rPr>
          <w:iCs/>
        </w:rPr>
        <w:t xml:space="preserve">can signal all possible power offsets between non-anchor and anchor carriers and is </w:t>
      </w:r>
      <w:proofErr w:type="gramStart"/>
      <w:r>
        <w:rPr>
          <w:iCs/>
        </w:rPr>
        <w:t>sufficient</w:t>
      </w:r>
      <w:proofErr w:type="gramEnd"/>
      <w:r>
        <w:rPr>
          <w:iCs/>
        </w:rPr>
        <w:t xml:space="preserve"> for NRSRP measurement translation between non-anchor and anchor carriers.</w:t>
      </w:r>
    </w:p>
    <w:p w14:paraId="67DD30DD" w14:textId="4BB054CC" w:rsidR="0096375B" w:rsidRPr="00234BBF" w:rsidRDefault="0096375B" w:rsidP="0096375B">
      <w:pPr>
        <w:rPr>
          <w:b/>
          <w:bCs/>
          <w:iCs/>
        </w:rPr>
      </w:pPr>
      <w:r w:rsidRPr="00570E8B">
        <w:rPr>
          <w:b/>
          <w:bCs/>
          <w:iCs/>
        </w:rPr>
        <w:t xml:space="preserve">Observation </w:t>
      </w:r>
      <w:r w:rsidR="004E2D90">
        <w:rPr>
          <w:b/>
          <w:bCs/>
          <w:iCs/>
        </w:rPr>
        <w:t>1</w:t>
      </w:r>
      <w:r w:rsidRPr="00570E8B">
        <w:rPr>
          <w:b/>
          <w:bCs/>
          <w:iCs/>
        </w:rPr>
        <w:t xml:space="preserve">. The existing parameter </w:t>
      </w:r>
      <w:r w:rsidRPr="00570E8B">
        <w:rPr>
          <w:rFonts w:hint="eastAsia"/>
          <w:b/>
          <w:bCs/>
          <w:i/>
        </w:rPr>
        <w:t>nrs-Power</w:t>
      </w:r>
      <w:r w:rsidRPr="00570E8B">
        <w:rPr>
          <w:b/>
          <w:bCs/>
          <w:i/>
        </w:rPr>
        <w:t>Offset</w:t>
      </w:r>
      <w:r w:rsidRPr="00570E8B">
        <w:rPr>
          <w:rFonts w:hint="eastAsia"/>
          <w:b/>
          <w:bCs/>
          <w:i/>
        </w:rPr>
        <w:t>NonAnchor</w:t>
      </w:r>
      <w:r w:rsidRPr="00570E8B">
        <w:rPr>
          <w:b/>
          <w:bCs/>
          <w:i/>
        </w:rPr>
        <w:t xml:space="preserve"> </w:t>
      </w:r>
      <w:r w:rsidRPr="00570E8B">
        <w:rPr>
          <w:b/>
          <w:bCs/>
          <w:iCs/>
        </w:rPr>
        <w:t xml:space="preserve">can signal all possible power offsets between non-anchor and anchor carriers and is </w:t>
      </w:r>
      <w:proofErr w:type="gramStart"/>
      <w:r w:rsidRPr="00570E8B">
        <w:rPr>
          <w:b/>
          <w:bCs/>
          <w:iCs/>
        </w:rPr>
        <w:t>sufficient</w:t>
      </w:r>
      <w:proofErr w:type="gramEnd"/>
      <w:r w:rsidRPr="00570E8B">
        <w:rPr>
          <w:b/>
          <w:bCs/>
          <w:iCs/>
        </w:rPr>
        <w:t xml:space="preserve"> for NRSRP measurement translation between non-anchor and anchor carriers.</w:t>
      </w:r>
    </w:p>
    <w:p w14:paraId="2A86DF01" w14:textId="22B6D0B4" w:rsidR="0096375B" w:rsidRPr="0096375B" w:rsidRDefault="0096375B" w:rsidP="0096375B">
      <w:pPr>
        <w:rPr>
          <w:b/>
          <w:bCs/>
          <w:iCs/>
        </w:rPr>
      </w:pPr>
      <w:r w:rsidRPr="0096375B">
        <w:rPr>
          <w:b/>
          <w:bCs/>
          <w:lang w:val="en-US"/>
        </w:rPr>
        <w:t xml:space="preserve">Proposal 1. For </w:t>
      </w:r>
      <w:r w:rsidRPr="0096375B">
        <w:rPr>
          <w:b/>
          <w:bCs/>
          <w:iCs/>
        </w:rPr>
        <w:t>for NRSRP measurement translation between non-anchor and anchor carriers, existing</w:t>
      </w:r>
      <w:r>
        <w:rPr>
          <w:b/>
          <w:bCs/>
          <w:iCs/>
        </w:rPr>
        <w:t xml:space="preserve"> parameter </w:t>
      </w:r>
      <w:r w:rsidRPr="00570E8B">
        <w:rPr>
          <w:rFonts w:hint="eastAsia"/>
          <w:b/>
          <w:bCs/>
          <w:i/>
        </w:rPr>
        <w:t>nrs-Power</w:t>
      </w:r>
      <w:r w:rsidRPr="00570E8B">
        <w:rPr>
          <w:b/>
          <w:bCs/>
          <w:i/>
        </w:rPr>
        <w:t>Offset</w:t>
      </w:r>
      <w:r w:rsidRPr="00570E8B">
        <w:rPr>
          <w:rFonts w:hint="eastAsia"/>
          <w:b/>
          <w:bCs/>
          <w:i/>
        </w:rPr>
        <w:t>NonAnchor</w:t>
      </w:r>
      <w:r>
        <w:rPr>
          <w:b/>
          <w:bCs/>
          <w:i/>
        </w:rPr>
        <w:t xml:space="preserve"> </w:t>
      </w:r>
      <w:r>
        <w:rPr>
          <w:b/>
          <w:bCs/>
          <w:iCs/>
        </w:rPr>
        <w:t xml:space="preserve">to be used. No new parameter needs to be defined or signalled. </w:t>
      </w:r>
    </w:p>
    <w:p w14:paraId="670A8C76" w14:textId="2BC22991" w:rsidR="00A564EB" w:rsidRDefault="00A564EB" w:rsidP="00A564EB">
      <w:r>
        <w:rPr>
          <w:bCs/>
          <w:iCs/>
          <w:szCs w:val="18"/>
        </w:rPr>
        <w:t>Next</w:t>
      </w:r>
      <w:r w:rsidRPr="00234BBF">
        <w:rPr>
          <w:bCs/>
          <w:iCs/>
          <w:szCs w:val="18"/>
        </w:rPr>
        <w:t xml:space="preserve">, we present our views on RRM measurements on non-anchor carrier in general and the conditions under which it can work. </w:t>
      </w:r>
    </w:p>
    <w:p w14:paraId="1ABB7B7D" w14:textId="77777777" w:rsidR="00A564EB" w:rsidRDefault="00A564EB" w:rsidP="00A564EB">
      <w:pPr>
        <w:rPr>
          <w:bCs/>
          <w:iCs/>
          <w:szCs w:val="18"/>
          <w:lang w:val="en-US"/>
        </w:rPr>
      </w:pPr>
      <w:r>
        <w:rPr>
          <w:bCs/>
          <w:iCs/>
          <w:szCs w:val="18"/>
          <w:lang w:val="en-US"/>
        </w:rPr>
        <w:t xml:space="preserve">With the presence of NRS on the non-anchor carrier even in the absence of paging transmissions in R16, UE can perform RRM measurements (at least NRSRP). Serving cell measurements on the non-anchor carrier can be permitted by the network in addition to legacy serving cell measurements on the anchor carrier. </w:t>
      </w:r>
    </w:p>
    <w:p w14:paraId="257D351E" w14:textId="3423C561" w:rsidR="00A564EB" w:rsidRPr="00F92E37" w:rsidRDefault="00A564EB" w:rsidP="00A564EB">
      <w:pPr>
        <w:rPr>
          <w:b/>
          <w:iCs/>
          <w:szCs w:val="18"/>
          <w:lang w:val="en-US"/>
        </w:rPr>
      </w:pPr>
      <w:r w:rsidRPr="00F92E37">
        <w:rPr>
          <w:b/>
        </w:rPr>
        <w:t xml:space="preserve">Proposal </w:t>
      </w:r>
      <w:r w:rsidR="004E2D90">
        <w:rPr>
          <w:b/>
        </w:rPr>
        <w:t>2</w:t>
      </w:r>
      <w:r w:rsidRPr="00F92E37">
        <w:rPr>
          <w:b/>
        </w:rPr>
        <w:t xml:space="preserve">. </w:t>
      </w:r>
      <w:r w:rsidRPr="00F92E37">
        <w:rPr>
          <w:b/>
          <w:iCs/>
          <w:szCs w:val="18"/>
          <w:lang w:val="en-US"/>
        </w:rPr>
        <w:t xml:space="preserve">With the presence of NRS on the non-anchor carrier even in the absence of paging </w:t>
      </w:r>
      <w:r>
        <w:rPr>
          <w:b/>
          <w:iCs/>
          <w:szCs w:val="18"/>
          <w:lang w:val="en-US"/>
        </w:rPr>
        <w:t>transmissions</w:t>
      </w:r>
      <w:r w:rsidRPr="00F92E37">
        <w:rPr>
          <w:b/>
          <w:iCs/>
          <w:szCs w:val="18"/>
          <w:lang w:val="en-US"/>
        </w:rPr>
        <w:t xml:space="preserve"> in R16, NW to permit </w:t>
      </w:r>
      <w:r>
        <w:rPr>
          <w:b/>
          <w:iCs/>
          <w:szCs w:val="18"/>
          <w:lang w:val="en-US"/>
        </w:rPr>
        <w:t xml:space="preserve">NRSRP </w:t>
      </w:r>
      <w:r w:rsidRPr="00F92E37">
        <w:rPr>
          <w:b/>
          <w:iCs/>
          <w:szCs w:val="18"/>
          <w:lang w:val="en-US"/>
        </w:rPr>
        <w:t xml:space="preserve">serving cell measurements on the non-anchor carrier. Serving cell measurements on the non-anchor carrier can be performed in addition to legacy serving cell measurements on the anchor carrier. </w:t>
      </w:r>
    </w:p>
    <w:p w14:paraId="4F6B770C" w14:textId="77777777" w:rsidR="00A564EB" w:rsidRDefault="00A564EB" w:rsidP="00A564EB">
      <w:pPr>
        <w:pStyle w:val="ListParagraph"/>
        <w:rPr>
          <w:bCs/>
          <w:iCs/>
          <w:sz w:val="20"/>
          <w:szCs w:val="14"/>
        </w:rPr>
      </w:pPr>
    </w:p>
    <w:p w14:paraId="68C2D535" w14:textId="77777777" w:rsidR="00A564EB" w:rsidRDefault="00A564EB" w:rsidP="00A564EB">
      <w:pPr>
        <w:rPr>
          <w:bCs/>
          <w:iCs/>
          <w:szCs w:val="18"/>
          <w:lang w:val="en-US"/>
        </w:rPr>
      </w:pPr>
      <w:r>
        <w:rPr>
          <w:bCs/>
          <w:iCs/>
          <w:szCs w:val="18"/>
          <w:lang w:val="en-US"/>
        </w:rPr>
        <w:t>With Proposal 1, UE’s actions in the non-relaxed monitoring state (default state) will be as follows:</w:t>
      </w:r>
    </w:p>
    <w:p w14:paraId="157A47E5" w14:textId="77777777" w:rsidR="00A564EB" w:rsidRPr="00407511" w:rsidRDefault="00A564EB" w:rsidP="00A564EB">
      <w:pPr>
        <w:pStyle w:val="ListParagraph"/>
        <w:numPr>
          <w:ilvl w:val="0"/>
          <w:numId w:val="38"/>
        </w:numPr>
        <w:rPr>
          <w:bCs/>
          <w:iCs/>
          <w:sz w:val="20"/>
          <w:szCs w:val="20"/>
        </w:rPr>
      </w:pPr>
      <w:r w:rsidRPr="00407511">
        <w:rPr>
          <w:bCs/>
          <w:iCs/>
          <w:sz w:val="20"/>
          <w:szCs w:val="20"/>
        </w:rPr>
        <w:t>UE performs neighbour cell measurements in anchor carrier</w:t>
      </w:r>
    </w:p>
    <w:p w14:paraId="0F24D66A" w14:textId="53DAB6FA" w:rsidR="00A564EB" w:rsidRPr="00407511" w:rsidRDefault="00A564EB" w:rsidP="00A564EB">
      <w:pPr>
        <w:pStyle w:val="ListParagraph"/>
        <w:numPr>
          <w:ilvl w:val="0"/>
          <w:numId w:val="38"/>
        </w:numPr>
        <w:rPr>
          <w:bCs/>
          <w:iCs/>
          <w:sz w:val="20"/>
          <w:szCs w:val="20"/>
        </w:rPr>
      </w:pPr>
      <w:r w:rsidRPr="00407511">
        <w:rPr>
          <w:bCs/>
          <w:iCs/>
          <w:sz w:val="20"/>
          <w:szCs w:val="20"/>
        </w:rPr>
        <w:t>UE performs serving cell measurements in anchor carrier</w:t>
      </w:r>
    </w:p>
    <w:p w14:paraId="08AA76C1" w14:textId="07B0ABDF" w:rsidR="00407511" w:rsidRPr="00407511" w:rsidRDefault="00407511" w:rsidP="00A564EB">
      <w:pPr>
        <w:pStyle w:val="ListParagraph"/>
        <w:numPr>
          <w:ilvl w:val="0"/>
          <w:numId w:val="38"/>
        </w:numPr>
        <w:rPr>
          <w:bCs/>
          <w:iCs/>
          <w:sz w:val="20"/>
          <w:szCs w:val="20"/>
        </w:rPr>
      </w:pPr>
      <w:r w:rsidRPr="00407511">
        <w:rPr>
          <w:bCs/>
          <w:iCs/>
          <w:sz w:val="20"/>
          <w:szCs w:val="20"/>
        </w:rPr>
        <w:t>UE may perform serving cell NRSRP measurements in non-anchor carrier</w:t>
      </w:r>
    </w:p>
    <w:p w14:paraId="72943BB8" w14:textId="02CCC9FA" w:rsidR="00407511" w:rsidRPr="00407511" w:rsidRDefault="00407511" w:rsidP="00A564EB">
      <w:pPr>
        <w:pStyle w:val="ListParagraph"/>
        <w:numPr>
          <w:ilvl w:val="0"/>
          <w:numId w:val="38"/>
        </w:numPr>
        <w:rPr>
          <w:bCs/>
          <w:iCs/>
          <w:sz w:val="20"/>
          <w:szCs w:val="20"/>
        </w:rPr>
      </w:pPr>
      <w:r w:rsidRPr="00407511">
        <w:rPr>
          <w:bCs/>
          <w:iCs/>
          <w:sz w:val="20"/>
          <w:szCs w:val="20"/>
        </w:rPr>
        <w:t xml:space="preserve">UE translates non-anchor carrier NRSRP measurement to equivalent anchor carrier NRSRP measurement using parameter </w:t>
      </w:r>
      <w:r w:rsidRPr="00407511">
        <w:rPr>
          <w:rFonts w:hint="eastAsia"/>
          <w:i/>
          <w:sz w:val="20"/>
          <w:szCs w:val="20"/>
        </w:rPr>
        <w:t>nrs-Power</w:t>
      </w:r>
      <w:r w:rsidRPr="00407511">
        <w:rPr>
          <w:i/>
          <w:sz w:val="20"/>
          <w:szCs w:val="20"/>
        </w:rPr>
        <w:t>Offset</w:t>
      </w:r>
      <w:r w:rsidRPr="00407511">
        <w:rPr>
          <w:rFonts w:hint="eastAsia"/>
          <w:i/>
          <w:sz w:val="20"/>
          <w:szCs w:val="20"/>
        </w:rPr>
        <w:t>NonAnchor</w:t>
      </w:r>
      <w:r w:rsidRPr="00407511">
        <w:rPr>
          <w:i/>
          <w:sz w:val="20"/>
          <w:szCs w:val="20"/>
        </w:rPr>
        <w:t xml:space="preserve"> </w:t>
      </w:r>
      <w:r w:rsidRPr="00407511">
        <w:rPr>
          <w:iCs/>
          <w:sz w:val="20"/>
          <w:szCs w:val="20"/>
        </w:rPr>
        <w:t xml:space="preserve">for procedures requiring anchor carrier NRSRP measurement </w:t>
      </w:r>
      <w:r w:rsidRPr="00407511">
        <w:rPr>
          <w:bCs/>
          <w:iCs/>
          <w:sz w:val="20"/>
          <w:szCs w:val="20"/>
        </w:rPr>
        <w:t xml:space="preserve"> </w:t>
      </w:r>
    </w:p>
    <w:p w14:paraId="7363134B" w14:textId="77777777" w:rsidR="00A564EB" w:rsidRDefault="00A564EB" w:rsidP="00A564EB">
      <w:pPr>
        <w:rPr>
          <w:bCs/>
          <w:iCs/>
          <w:szCs w:val="14"/>
        </w:rPr>
      </w:pPr>
    </w:p>
    <w:p w14:paraId="3AE81431" w14:textId="5874F25A" w:rsidR="00A564EB" w:rsidRPr="00E72D11" w:rsidRDefault="00A564EB" w:rsidP="00A564EB">
      <w:pPr>
        <w:rPr>
          <w:b/>
          <w:iCs/>
          <w:szCs w:val="18"/>
          <w:lang w:val="en-US"/>
        </w:rPr>
      </w:pPr>
      <w:r w:rsidRPr="00E72D11">
        <w:rPr>
          <w:b/>
          <w:iCs/>
          <w:szCs w:val="14"/>
        </w:rPr>
        <w:t xml:space="preserve">Proposal </w:t>
      </w:r>
      <w:r w:rsidR="004E2D90">
        <w:rPr>
          <w:b/>
          <w:iCs/>
          <w:szCs w:val="14"/>
        </w:rPr>
        <w:t>3</w:t>
      </w:r>
      <w:r w:rsidRPr="00E72D11">
        <w:rPr>
          <w:b/>
          <w:iCs/>
          <w:szCs w:val="14"/>
        </w:rPr>
        <w:t xml:space="preserve">. </w:t>
      </w:r>
      <w:r w:rsidRPr="00E72D11">
        <w:rPr>
          <w:b/>
          <w:iCs/>
          <w:szCs w:val="18"/>
          <w:lang w:val="en-US"/>
        </w:rPr>
        <w:t>In the non-relaxed monitoring state (default state), UE:</w:t>
      </w:r>
    </w:p>
    <w:p w14:paraId="24F95D0A" w14:textId="77777777" w:rsidR="00407511" w:rsidRPr="00407511" w:rsidRDefault="00407511" w:rsidP="00407511">
      <w:pPr>
        <w:pStyle w:val="ListParagraph"/>
        <w:numPr>
          <w:ilvl w:val="0"/>
          <w:numId w:val="38"/>
        </w:numPr>
        <w:rPr>
          <w:b/>
          <w:iCs/>
          <w:sz w:val="20"/>
          <w:szCs w:val="20"/>
        </w:rPr>
      </w:pPr>
      <w:r w:rsidRPr="00407511">
        <w:rPr>
          <w:b/>
          <w:iCs/>
          <w:sz w:val="20"/>
          <w:szCs w:val="20"/>
        </w:rPr>
        <w:t>UE performs neighbour cell measurements in anchor carrier</w:t>
      </w:r>
    </w:p>
    <w:p w14:paraId="0D7307E0" w14:textId="77777777" w:rsidR="00407511" w:rsidRPr="00407511" w:rsidRDefault="00407511" w:rsidP="00407511">
      <w:pPr>
        <w:pStyle w:val="ListParagraph"/>
        <w:numPr>
          <w:ilvl w:val="0"/>
          <w:numId w:val="38"/>
        </w:numPr>
        <w:rPr>
          <w:b/>
          <w:iCs/>
          <w:sz w:val="20"/>
          <w:szCs w:val="20"/>
        </w:rPr>
      </w:pPr>
      <w:r w:rsidRPr="00407511">
        <w:rPr>
          <w:b/>
          <w:iCs/>
          <w:sz w:val="20"/>
          <w:szCs w:val="20"/>
        </w:rPr>
        <w:t>UE performs serving cell measurements in anchor carrier</w:t>
      </w:r>
    </w:p>
    <w:p w14:paraId="1101DB8B" w14:textId="77777777" w:rsidR="00407511" w:rsidRPr="00407511" w:rsidRDefault="00407511" w:rsidP="00407511">
      <w:pPr>
        <w:pStyle w:val="ListParagraph"/>
        <w:numPr>
          <w:ilvl w:val="0"/>
          <w:numId w:val="38"/>
        </w:numPr>
        <w:rPr>
          <w:b/>
          <w:iCs/>
          <w:sz w:val="20"/>
          <w:szCs w:val="20"/>
        </w:rPr>
      </w:pPr>
      <w:r w:rsidRPr="00407511">
        <w:rPr>
          <w:b/>
          <w:iCs/>
          <w:sz w:val="20"/>
          <w:szCs w:val="20"/>
        </w:rPr>
        <w:t>UE may perform serving cell NRSRP measurements in non-anchor carrier</w:t>
      </w:r>
    </w:p>
    <w:p w14:paraId="0F501BB2" w14:textId="77777777" w:rsidR="00407511" w:rsidRPr="00407511" w:rsidRDefault="00407511" w:rsidP="00407511">
      <w:pPr>
        <w:pStyle w:val="ListParagraph"/>
        <w:numPr>
          <w:ilvl w:val="0"/>
          <w:numId w:val="38"/>
        </w:numPr>
        <w:rPr>
          <w:b/>
          <w:iCs/>
          <w:sz w:val="20"/>
          <w:szCs w:val="20"/>
        </w:rPr>
      </w:pPr>
      <w:r w:rsidRPr="00407511">
        <w:rPr>
          <w:b/>
          <w:iCs/>
          <w:sz w:val="20"/>
          <w:szCs w:val="20"/>
        </w:rPr>
        <w:t xml:space="preserve">UE translates non-anchor carrier NRSRP measurement to equivalent anchor carrier NRSRP measurement using parameter </w:t>
      </w:r>
      <w:r w:rsidRPr="00407511">
        <w:rPr>
          <w:rFonts w:hint="eastAsia"/>
          <w:b/>
          <w:i/>
          <w:sz w:val="20"/>
          <w:szCs w:val="20"/>
        </w:rPr>
        <w:t>nrs-Power</w:t>
      </w:r>
      <w:r w:rsidRPr="00407511">
        <w:rPr>
          <w:b/>
          <w:i/>
          <w:sz w:val="20"/>
          <w:szCs w:val="20"/>
        </w:rPr>
        <w:t>Offset</w:t>
      </w:r>
      <w:r w:rsidRPr="00407511">
        <w:rPr>
          <w:rFonts w:hint="eastAsia"/>
          <w:b/>
          <w:i/>
          <w:sz w:val="20"/>
          <w:szCs w:val="20"/>
        </w:rPr>
        <w:t>NonAnchor</w:t>
      </w:r>
      <w:r w:rsidRPr="00407511">
        <w:rPr>
          <w:b/>
          <w:i/>
          <w:sz w:val="20"/>
          <w:szCs w:val="20"/>
        </w:rPr>
        <w:t xml:space="preserve"> </w:t>
      </w:r>
      <w:r w:rsidRPr="00407511">
        <w:rPr>
          <w:b/>
          <w:iCs/>
          <w:sz w:val="20"/>
          <w:szCs w:val="20"/>
        </w:rPr>
        <w:t xml:space="preserve">for procedures requiring anchor carrier NRSRP measurement  </w:t>
      </w:r>
    </w:p>
    <w:p w14:paraId="16AC26BD" w14:textId="77777777" w:rsidR="00A564EB" w:rsidRPr="00407511" w:rsidRDefault="00A564EB" w:rsidP="00A564EB">
      <w:pPr>
        <w:rPr>
          <w:b/>
          <w:iCs/>
          <w:szCs w:val="14"/>
        </w:rPr>
      </w:pPr>
    </w:p>
    <w:p w14:paraId="234434EE" w14:textId="269CD5A7" w:rsidR="004E2D90" w:rsidRPr="004E2D90" w:rsidRDefault="004E2D90" w:rsidP="004E2D90">
      <w:pPr>
        <w:spacing w:after="120"/>
        <w:rPr>
          <w:szCs w:val="18"/>
        </w:rPr>
      </w:pPr>
      <w:r>
        <w:rPr>
          <w:szCs w:val="18"/>
        </w:rPr>
        <w:lastRenderedPageBreak/>
        <w:t>Of specific interest is</w:t>
      </w:r>
      <w:r w:rsidRPr="004E2D90">
        <w:rPr>
          <w:szCs w:val="18"/>
        </w:rPr>
        <w:t xml:space="preserve"> how to define </w:t>
      </w:r>
      <w:r>
        <w:rPr>
          <w:szCs w:val="18"/>
        </w:rPr>
        <w:t>conditions when</w:t>
      </w:r>
      <w:r w:rsidRPr="004E2D90">
        <w:rPr>
          <w:szCs w:val="18"/>
        </w:rPr>
        <w:t xml:space="preserve"> UE can stop measurement on anchor carrier and rely solely on non-anchor carrier measurements</w:t>
      </w:r>
      <w:r>
        <w:rPr>
          <w:szCs w:val="18"/>
        </w:rPr>
        <w:t xml:space="preserve"> to maximize power savings</w:t>
      </w:r>
      <w:r w:rsidRPr="004E2D90">
        <w:rPr>
          <w:szCs w:val="18"/>
        </w:rPr>
        <w:t xml:space="preserve">. When radio conditions are changing then UE performs neighbor cell measurements anyway to </w:t>
      </w:r>
      <w:r>
        <w:rPr>
          <w:szCs w:val="18"/>
        </w:rPr>
        <w:t>search</w:t>
      </w:r>
      <w:r w:rsidRPr="004E2D90">
        <w:rPr>
          <w:szCs w:val="18"/>
        </w:rPr>
        <w:t xml:space="preserve"> for a better cell hence there will be limited power saving</w:t>
      </w:r>
      <w:r>
        <w:rPr>
          <w:szCs w:val="18"/>
        </w:rPr>
        <w:t>s</w:t>
      </w:r>
      <w:r w:rsidRPr="004E2D90">
        <w:rPr>
          <w:szCs w:val="18"/>
        </w:rPr>
        <w:t xml:space="preserve"> if UE performs measurements on anchor carrier in addition to paging on non-anchor carrier. </w:t>
      </w:r>
      <w:r>
        <w:rPr>
          <w:szCs w:val="18"/>
        </w:rPr>
        <w:t>However,</w:t>
      </w:r>
      <w:r w:rsidRPr="004E2D90">
        <w:rPr>
          <w:szCs w:val="18"/>
        </w:rPr>
        <w:t xml:space="preserve"> significant power saving</w:t>
      </w:r>
      <w:r>
        <w:rPr>
          <w:szCs w:val="18"/>
        </w:rPr>
        <w:t>s</w:t>
      </w:r>
      <w:r w:rsidRPr="004E2D90">
        <w:rPr>
          <w:szCs w:val="18"/>
        </w:rPr>
        <w:t xml:space="preserve"> can be achieved when UE performs measurements </w:t>
      </w:r>
      <w:r>
        <w:rPr>
          <w:szCs w:val="18"/>
        </w:rPr>
        <w:t xml:space="preserve">only </w:t>
      </w:r>
      <w:r w:rsidRPr="004E2D90">
        <w:rPr>
          <w:szCs w:val="18"/>
        </w:rPr>
        <w:t>on the serving cell. Therefore, it makes sense to link relaxing of measurements on anchor carrier to the relaxed measurement mechanism introduced in Release 14. For this sourcing company make the following proposals:</w:t>
      </w:r>
    </w:p>
    <w:p w14:paraId="6556D329" w14:textId="7159EF94" w:rsidR="00A564EB" w:rsidRDefault="00A564EB" w:rsidP="00A564EB">
      <w:pPr>
        <w:rPr>
          <w:bCs/>
          <w:iCs/>
          <w:szCs w:val="18"/>
        </w:rPr>
      </w:pPr>
      <w:r>
        <w:rPr>
          <w:bCs/>
          <w:iCs/>
          <w:szCs w:val="18"/>
        </w:rPr>
        <w:t xml:space="preserve">Based on the evaluation of the relaxed monitoring conditions </w:t>
      </w:r>
      <w:r w:rsidR="004E2D90">
        <w:rPr>
          <w:bCs/>
          <w:iCs/>
          <w:szCs w:val="18"/>
        </w:rPr>
        <w:t>as introduced in Release 14</w:t>
      </w:r>
      <w:r>
        <w:rPr>
          <w:bCs/>
          <w:iCs/>
          <w:szCs w:val="18"/>
        </w:rPr>
        <w:t>, UE can enter a relaxed monitoring state wherein UE:</w:t>
      </w:r>
    </w:p>
    <w:p w14:paraId="4EEFB611" w14:textId="77777777" w:rsidR="00A564EB" w:rsidRPr="004C7AA4" w:rsidRDefault="00A564EB" w:rsidP="00A564EB">
      <w:pPr>
        <w:pStyle w:val="ListParagraph"/>
        <w:numPr>
          <w:ilvl w:val="0"/>
          <w:numId w:val="39"/>
        </w:numPr>
        <w:rPr>
          <w:bCs/>
          <w:iCs/>
          <w:sz w:val="20"/>
          <w:szCs w:val="14"/>
        </w:rPr>
      </w:pPr>
      <w:r>
        <w:rPr>
          <w:bCs/>
          <w:iCs/>
          <w:sz w:val="20"/>
          <w:szCs w:val="14"/>
        </w:rPr>
        <w:t>S</w:t>
      </w:r>
      <w:r w:rsidRPr="004C7AA4">
        <w:rPr>
          <w:bCs/>
          <w:iCs/>
          <w:sz w:val="20"/>
          <w:szCs w:val="14"/>
        </w:rPr>
        <w:t>tops monitoring neighbor cells</w:t>
      </w:r>
    </w:p>
    <w:p w14:paraId="5D2892C6" w14:textId="52C466D8" w:rsidR="00A564EB" w:rsidRPr="004C7AA4" w:rsidRDefault="004E2D90" w:rsidP="00A564EB">
      <w:pPr>
        <w:pStyle w:val="ListParagraph"/>
        <w:numPr>
          <w:ilvl w:val="0"/>
          <w:numId w:val="39"/>
        </w:numPr>
        <w:rPr>
          <w:bCs/>
          <w:iCs/>
          <w:sz w:val="20"/>
          <w:szCs w:val="14"/>
        </w:rPr>
      </w:pPr>
      <w:r>
        <w:rPr>
          <w:bCs/>
          <w:iCs/>
          <w:sz w:val="20"/>
          <w:szCs w:val="14"/>
        </w:rPr>
        <w:t>May s</w:t>
      </w:r>
      <w:r w:rsidR="00A564EB" w:rsidRPr="004C7AA4">
        <w:rPr>
          <w:bCs/>
          <w:iCs/>
          <w:sz w:val="20"/>
          <w:szCs w:val="14"/>
        </w:rPr>
        <w:t>top performing measurements on anchor carrier</w:t>
      </w:r>
    </w:p>
    <w:p w14:paraId="7893A5A5" w14:textId="274EE2BE" w:rsidR="00A564EB" w:rsidRPr="004C7AA4" w:rsidRDefault="004E2D90" w:rsidP="00A564EB">
      <w:pPr>
        <w:pStyle w:val="ListParagraph"/>
        <w:numPr>
          <w:ilvl w:val="0"/>
          <w:numId w:val="39"/>
        </w:numPr>
        <w:rPr>
          <w:bCs/>
          <w:iCs/>
          <w:sz w:val="20"/>
          <w:szCs w:val="14"/>
        </w:rPr>
      </w:pPr>
      <w:r>
        <w:rPr>
          <w:bCs/>
          <w:iCs/>
          <w:sz w:val="20"/>
          <w:szCs w:val="14"/>
        </w:rPr>
        <w:t>May c</w:t>
      </w:r>
      <w:r w:rsidR="00A564EB" w:rsidRPr="004C7AA4">
        <w:rPr>
          <w:bCs/>
          <w:iCs/>
          <w:sz w:val="20"/>
          <w:szCs w:val="14"/>
        </w:rPr>
        <w:t xml:space="preserve">ontinue to perform measurements </w:t>
      </w:r>
      <w:r>
        <w:rPr>
          <w:bCs/>
          <w:iCs/>
          <w:sz w:val="20"/>
          <w:szCs w:val="14"/>
        </w:rPr>
        <w:t xml:space="preserve">only </w:t>
      </w:r>
      <w:r w:rsidR="00A564EB" w:rsidRPr="004C7AA4">
        <w:rPr>
          <w:bCs/>
          <w:iCs/>
          <w:sz w:val="20"/>
          <w:szCs w:val="14"/>
        </w:rPr>
        <w:t>on the non-anchor carrier</w:t>
      </w:r>
    </w:p>
    <w:p w14:paraId="5346A479" w14:textId="533C6960" w:rsidR="00A564EB" w:rsidRPr="004C7AA4" w:rsidRDefault="004E2D90" w:rsidP="00A564EB">
      <w:pPr>
        <w:pStyle w:val="ListParagraph"/>
        <w:numPr>
          <w:ilvl w:val="0"/>
          <w:numId w:val="39"/>
        </w:numPr>
        <w:rPr>
          <w:iCs/>
          <w:sz w:val="20"/>
          <w:szCs w:val="20"/>
        </w:rPr>
      </w:pPr>
      <w:r>
        <w:rPr>
          <w:bCs/>
          <w:iCs/>
          <w:sz w:val="20"/>
          <w:szCs w:val="14"/>
        </w:rPr>
        <w:t>May c</w:t>
      </w:r>
      <w:r w:rsidR="00A564EB" w:rsidRPr="004C7AA4">
        <w:rPr>
          <w:bCs/>
          <w:iCs/>
          <w:sz w:val="20"/>
          <w:szCs w:val="14"/>
        </w:rPr>
        <w:t>ontinue to evaluate relaxed monitoring conditions using non-anchor carrier</w:t>
      </w:r>
      <w:r>
        <w:rPr>
          <w:bCs/>
          <w:iCs/>
          <w:sz w:val="20"/>
          <w:szCs w:val="14"/>
        </w:rPr>
        <w:t xml:space="preserve"> NRSRP</w:t>
      </w:r>
      <w:r w:rsidR="00A564EB" w:rsidRPr="004C7AA4">
        <w:rPr>
          <w:bCs/>
          <w:iCs/>
          <w:sz w:val="20"/>
          <w:szCs w:val="14"/>
        </w:rPr>
        <w:t xml:space="preserve"> measurements and </w:t>
      </w:r>
      <w:r w:rsidR="00A564EB" w:rsidRPr="004C7AA4">
        <w:rPr>
          <w:rFonts w:hint="eastAsia"/>
          <w:i/>
          <w:sz w:val="20"/>
          <w:szCs w:val="20"/>
        </w:rPr>
        <w:t>nrs-Power</w:t>
      </w:r>
      <w:r w:rsidR="00A564EB" w:rsidRPr="004C7AA4">
        <w:rPr>
          <w:i/>
          <w:sz w:val="20"/>
          <w:szCs w:val="20"/>
        </w:rPr>
        <w:t>Offset</w:t>
      </w:r>
      <w:r w:rsidR="00A564EB" w:rsidRPr="004C7AA4">
        <w:rPr>
          <w:rFonts w:hint="eastAsia"/>
          <w:i/>
          <w:sz w:val="20"/>
          <w:szCs w:val="20"/>
        </w:rPr>
        <w:t>NonAnchor</w:t>
      </w:r>
      <w:r w:rsidR="00A564EB" w:rsidRPr="004C7AA4">
        <w:rPr>
          <w:i/>
          <w:sz w:val="20"/>
          <w:szCs w:val="20"/>
        </w:rPr>
        <w:t xml:space="preserve"> </w:t>
      </w:r>
      <w:r w:rsidR="00A564EB" w:rsidRPr="004C7AA4">
        <w:rPr>
          <w:iCs/>
          <w:sz w:val="20"/>
          <w:szCs w:val="20"/>
        </w:rPr>
        <w:t>for translation to their equivalent</w:t>
      </w:r>
      <w:r>
        <w:rPr>
          <w:iCs/>
          <w:sz w:val="20"/>
          <w:szCs w:val="20"/>
        </w:rPr>
        <w:t xml:space="preserve"> NRSRP</w:t>
      </w:r>
      <w:r w:rsidR="00A564EB" w:rsidRPr="004C7AA4">
        <w:rPr>
          <w:iCs/>
          <w:sz w:val="20"/>
          <w:szCs w:val="20"/>
        </w:rPr>
        <w:t xml:space="preserve"> in anchor carrier</w:t>
      </w:r>
    </w:p>
    <w:p w14:paraId="5820A7C6" w14:textId="77777777" w:rsidR="00A564EB" w:rsidRDefault="00A564EB" w:rsidP="00A564EB">
      <w:pPr>
        <w:rPr>
          <w:iCs/>
        </w:rPr>
      </w:pPr>
    </w:p>
    <w:p w14:paraId="77D12D65" w14:textId="6434994F" w:rsidR="00A564EB" w:rsidRPr="004C7AA4" w:rsidRDefault="00A564EB" w:rsidP="00A564EB">
      <w:pPr>
        <w:rPr>
          <w:iCs/>
        </w:rPr>
      </w:pPr>
      <w:r w:rsidRPr="004C7AA4">
        <w:rPr>
          <w:iCs/>
        </w:rPr>
        <w:t xml:space="preserve">Exiting this state will be based on </w:t>
      </w:r>
      <w:r w:rsidR="004E2D90">
        <w:rPr>
          <w:iCs/>
        </w:rPr>
        <w:t>NRSRP measurements</w:t>
      </w:r>
      <w:r w:rsidRPr="004C7AA4">
        <w:rPr>
          <w:iCs/>
        </w:rPr>
        <w:t xml:space="preserve"> not fulfilling the relaxed conditions. </w:t>
      </w:r>
    </w:p>
    <w:p w14:paraId="6C593622" w14:textId="77777777" w:rsidR="004E2D90" w:rsidRPr="004E2D90" w:rsidRDefault="00A564EB" w:rsidP="004E2D90">
      <w:pPr>
        <w:rPr>
          <w:b/>
          <w:bCs/>
          <w:iCs/>
          <w:szCs w:val="18"/>
        </w:rPr>
      </w:pPr>
      <w:r w:rsidRPr="004E2D90">
        <w:rPr>
          <w:b/>
          <w:bCs/>
          <w:iCs/>
        </w:rPr>
        <w:t xml:space="preserve">Proposal </w:t>
      </w:r>
      <w:r w:rsidR="004E2D90" w:rsidRPr="004E2D90">
        <w:rPr>
          <w:b/>
          <w:bCs/>
          <w:iCs/>
        </w:rPr>
        <w:t>4</w:t>
      </w:r>
      <w:r w:rsidRPr="004E2D90">
        <w:rPr>
          <w:b/>
          <w:bCs/>
          <w:iCs/>
        </w:rPr>
        <w:t xml:space="preserve">. </w:t>
      </w:r>
      <w:r w:rsidR="004E2D90" w:rsidRPr="004E2D90">
        <w:rPr>
          <w:b/>
          <w:bCs/>
          <w:iCs/>
          <w:szCs w:val="18"/>
        </w:rPr>
        <w:t>Based on the evaluation of the relaxed monitoring conditions as introduced in Release 14, UE can enter a relaxed monitoring state wherein UE:</w:t>
      </w:r>
    </w:p>
    <w:p w14:paraId="357EAA1E" w14:textId="77777777" w:rsidR="004E2D90" w:rsidRPr="004E2D90" w:rsidRDefault="004E2D90" w:rsidP="004E2D90">
      <w:pPr>
        <w:pStyle w:val="ListParagraph"/>
        <w:numPr>
          <w:ilvl w:val="0"/>
          <w:numId w:val="39"/>
        </w:numPr>
        <w:rPr>
          <w:b/>
          <w:bCs/>
          <w:iCs/>
          <w:sz w:val="20"/>
          <w:szCs w:val="14"/>
        </w:rPr>
      </w:pPr>
      <w:r w:rsidRPr="004E2D90">
        <w:rPr>
          <w:b/>
          <w:bCs/>
          <w:iCs/>
          <w:sz w:val="20"/>
          <w:szCs w:val="14"/>
        </w:rPr>
        <w:t>Stops monitoring neighbor cells</w:t>
      </w:r>
    </w:p>
    <w:p w14:paraId="57510CCD" w14:textId="77777777" w:rsidR="004E2D90" w:rsidRPr="004E2D90" w:rsidRDefault="004E2D90" w:rsidP="004E2D90">
      <w:pPr>
        <w:pStyle w:val="ListParagraph"/>
        <w:numPr>
          <w:ilvl w:val="0"/>
          <w:numId w:val="39"/>
        </w:numPr>
        <w:rPr>
          <w:b/>
          <w:bCs/>
          <w:iCs/>
          <w:sz w:val="20"/>
          <w:szCs w:val="14"/>
        </w:rPr>
      </w:pPr>
      <w:r w:rsidRPr="004E2D90">
        <w:rPr>
          <w:b/>
          <w:bCs/>
          <w:iCs/>
          <w:sz w:val="20"/>
          <w:szCs w:val="14"/>
        </w:rPr>
        <w:t>May stop performing measurements on anchor carrier</w:t>
      </w:r>
    </w:p>
    <w:p w14:paraId="5B64EE63" w14:textId="77777777" w:rsidR="004E2D90" w:rsidRPr="004E2D90" w:rsidRDefault="004E2D90" w:rsidP="004E2D90">
      <w:pPr>
        <w:pStyle w:val="ListParagraph"/>
        <w:numPr>
          <w:ilvl w:val="0"/>
          <w:numId w:val="39"/>
        </w:numPr>
        <w:rPr>
          <w:b/>
          <w:bCs/>
          <w:iCs/>
          <w:sz w:val="20"/>
          <w:szCs w:val="14"/>
        </w:rPr>
      </w:pPr>
      <w:r w:rsidRPr="004E2D90">
        <w:rPr>
          <w:b/>
          <w:bCs/>
          <w:iCs/>
          <w:sz w:val="20"/>
          <w:szCs w:val="14"/>
        </w:rPr>
        <w:t>May continue to perform measurements only on the non-anchor carrier</w:t>
      </w:r>
    </w:p>
    <w:p w14:paraId="4A1A249B" w14:textId="77777777" w:rsidR="004E2D90" w:rsidRPr="004E2D90" w:rsidRDefault="004E2D90" w:rsidP="004E2D90">
      <w:pPr>
        <w:pStyle w:val="ListParagraph"/>
        <w:numPr>
          <w:ilvl w:val="0"/>
          <w:numId w:val="39"/>
        </w:numPr>
        <w:rPr>
          <w:b/>
          <w:bCs/>
          <w:iCs/>
          <w:sz w:val="20"/>
          <w:szCs w:val="20"/>
        </w:rPr>
      </w:pPr>
      <w:r w:rsidRPr="004E2D90">
        <w:rPr>
          <w:b/>
          <w:bCs/>
          <w:iCs/>
          <w:sz w:val="20"/>
          <w:szCs w:val="14"/>
        </w:rPr>
        <w:t xml:space="preserve">May continue to evaluate relaxed monitoring conditions using non-anchor carrier NRSRP measurements and </w:t>
      </w:r>
      <w:r w:rsidRPr="004E2D90">
        <w:rPr>
          <w:rFonts w:hint="eastAsia"/>
          <w:b/>
          <w:bCs/>
          <w:i/>
          <w:sz w:val="20"/>
          <w:szCs w:val="20"/>
        </w:rPr>
        <w:t>nrs-Power</w:t>
      </w:r>
      <w:r w:rsidRPr="004E2D90">
        <w:rPr>
          <w:b/>
          <w:bCs/>
          <w:i/>
          <w:sz w:val="20"/>
          <w:szCs w:val="20"/>
        </w:rPr>
        <w:t>Offset</w:t>
      </w:r>
      <w:r w:rsidRPr="004E2D90">
        <w:rPr>
          <w:rFonts w:hint="eastAsia"/>
          <w:b/>
          <w:bCs/>
          <w:i/>
          <w:sz w:val="20"/>
          <w:szCs w:val="20"/>
        </w:rPr>
        <w:t>NonAnchor</w:t>
      </w:r>
      <w:r w:rsidRPr="004E2D90">
        <w:rPr>
          <w:b/>
          <w:bCs/>
          <w:i/>
          <w:sz w:val="20"/>
          <w:szCs w:val="20"/>
        </w:rPr>
        <w:t xml:space="preserve"> </w:t>
      </w:r>
      <w:r w:rsidRPr="004E2D90">
        <w:rPr>
          <w:b/>
          <w:bCs/>
          <w:iCs/>
          <w:sz w:val="20"/>
          <w:szCs w:val="20"/>
        </w:rPr>
        <w:t>for translation to their equivalent NRSRP in anchor carrier</w:t>
      </w:r>
    </w:p>
    <w:p w14:paraId="67FB2393" w14:textId="77777777" w:rsidR="004E2D90" w:rsidRPr="004E2D90" w:rsidRDefault="004E2D90" w:rsidP="004E2D90">
      <w:pPr>
        <w:rPr>
          <w:b/>
          <w:bCs/>
          <w:iCs/>
        </w:rPr>
      </w:pPr>
    </w:p>
    <w:p w14:paraId="2890B35E" w14:textId="77777777" w:rsidR="004E2D90" w:rsidRPr="004E2D90" w:rsidRDefault="004E2D90" w:rsidP="004E2D90">
      <w:pPr>
        <w:rPr>
          <w:b/>
          <w:bCs/>
          <w:iCs/>
        </w:rPr>
      </w:pPr>
      <w:r w:rsidRPr="004E2D90">
        <w:rPr>
          <w:b/>
          <w:bCs/>
          <w:iCs/>
        </w:rPr>
        <w:t xml:space="preserve">Exiting this state will be based on NRSRP measurements not fulfilling the relaxed conditions. </w:t>
      </w:r>
    </w:p>
    <w:p w14:paraId="3E8F964A" w14:textId="2233C195" w:rsidR="0096375B" w:rsidRDefault="004E2D90" w:rsidP="0096375B">
      <w:pPr>
        <w:rPr>
          <w:bCs/>
          <w:iCs/>
        </w:rPr>
      </w:pPr>
      <w:r>
        <w:rPr>
          <w:bCs/>
          <w:iCs/>
        </w:rPr>
        <w:t>It is noted that while in relaxed monitoring state</w:t>
      </w:r>
      <w:r w:rsidR="0005391F">
        <w:rPr>
          <w:bCs/>
          <w:iCs/>
        </w:rPr>
        <w:t xml:space="preserve"> with Proposal 4, UE may still perform search/measurement on anchor carrier for frequency synchronization and the rate at which this task is done is left to UE implementation. </w:t>
      </w:r>
    </w:p>
    <w:p w14:paraId="18026B5D" w14:textId="74F1C632" w:rsidR="0005391F" w:rsidRPr="0005391F" w:rsidRDefault="0005391F" w:rsidP="0096375B">
      <w:pPr>
        <w:rPr>
          <w:b/>
          <w:lang w:val="en-US"/>
        </w:rPr>
      </w:pPr>
      <w:r w:rsidRPr="0005391F">
        <w:rPr>
          <w:b/>
          <w:iCs/>
        </w:rPr>
        <w:t xml:space="preserve">Proposal 5. While UE is in relaxed monitoring state and performing measurements on non-anchor carrier, it may occasionally perform search/measurement on anchor carrier (e.g., for frequency synchronization). The rate at which this is done is left to UE implementation. </w:t>
      </w:r>
    </w:p>
    <w:p w14:paraId="05109B46" w14:textId="108795D1" w:rsidR="00F2107A" w:rsidRDefault="0032488E" w:rsidP="005D6C7D">
      <w:pPr>
        <w:pStyle w:val="Heading1"/>
        <w:rPr>
          <w:lang w:val="en-US"/>
        </w:rPr>
      </w:pPr>
      <w:r>
        <w:rPr>
          <w:lang w:val="en-US"/>
        </w:rPr>
        <w:t>Con</w:t>
      </w:r>
      <w:r w:rsidR="00F2107A">
        <w:rPr>
          <w:lang w:val="en-US"/>
        </w:rPr>
        <w:t>clusions</w:t>
      </w:r>
    </w:p>
    <w:p w14:paraId="43EAD0F5" w14:textId="77777777" w:rsidR="0005391F" w:rsidRPr="00234BBF" w:rsidRDefault="0005391F" w:rsidP="0005391F">
      <w:pPr>
        <w:rPr>
          <w:b/>
          <w:bCs/>
          <w:iCs/>
        </w:rPr>
      </w:pPr>
      <w:r w:rsidRPr="00570E8B">
        <w:rPr>
          <w:b/>
          <w:bCs/>
          <w:iCs/>
        </w:rPr>
        <w:t xml:space="preserve">Observation </w:t>
      </w:r>
      <w:r>
        <w:rPr>
          <w:b/>
          <w:bCs/>
          <w:iCs/>
        </w:rPr>
        <w:t>1</w:t>
      </w:r>
      <w:r w:rsidRPr="00570E8B">
        <w:rPr>
          <w:b/>
          <w:bCs/>
          <w:iCs/>
        </w:rPr>
        <w:t xml:space="preserve">. The existing parameter </w:t>
      </w:r>
      <w:r w:rsidRPr="00570E8B">
        <w:rPr>
          <w:rFonts w:hint="eastAsia"/>
          <w:b/>
          <w:bCs/>
          <w:i/>
        </w:rPr>
        <w:t>nrs-Power</w:t>
      </w:r>
      <w:r w:rsidRPr="00570E8B">
        <w:rPr>
          <w:b/>
          <w:bCs/>
          <w:i/>
        </w:rPr>
        <w:t>Offset</w:t>
      </w:r>
      <w:r w:rsidRPr="00570E8B">
        <w:rPr>
          <w:rFonts w:hint="eastAsia"/>
          <w:b/>
          <w:bCs/>
          <w:i/>
        </w:rPr>
        <w:t>NonAnchor</w:t>
      </w:r>
      <w:r w:rsidRPr="00570E8B">
        <w:rPr>
          <w:b/>
          <w:bCs/>
          <w:i/>
        </w:rPr>
        <w:t xml:space="preserve"> </w:t>
      </w:r>
      <w:r w:rsidRPr="00570E8B">
        <w:rPr>
          <w:b/>
          <w:bCs/>
          <w:iCs/>
        </w:rPr>
        <w:t xml:space="preserve">can signal all possible power offsets between non-anchor and anchor carriers and is </w:t>
      </w:r>
      <w:proofErr w:type="gramStart"/>
      <w:r w:rsidRPr="00570E8B">
        <w:rPr>
          <w:b/>
          <w:bCs/>
          <w:iCs/>
        </w:rPr>
        <w:t>sufficient</w:t>
      </w:r>
      <w:proofErr w:type="gramEnd"/>
      <w:r w:rsidRPr="00570E8B">
        <w:rPr>
          <w:b/>
          <w:bCs/>
          <w:iCs/>
        </w:rPr>
        <w:t xml:space="preserve"> for NRSRP measurement translation between non-anchor and anchor carriers.</w:t>
      </w:r>
    </w:p>
    <w:p w14:paraId="225F1F46" w14:textId="77777777" w:rsidR="0005391F" w:rsidRPr="0096375B" w:rsidRDefault="0005391F" w:rsidP="0005391F">
      <w:pPr>
        <w:rPr>
          <w:b/>
          <w:bCs/>
          <w:iCs/>
        </w:rPr>
      </w:pPr>
      <w:r w:rsidRPr="0096375B">
        <w:rPr>
          <w:b/>
          <w:bCs/>
          <w:lang w:val="en-US"/>
        </w:rPr>
        <w:t xml:space="preserve">Proposal 1. For </w:t>
      </w:r>
      <w:r w:rsidRPr="0096375B">
        <w:rPr>
          <w:b/>
          <w:bCs/>
          <w:iCs/>
        </w:rPr>
        <w:t>for NRSRP measurement translation between non-anchor and anchor carriers, existing</w:t>
      </w:r>
      <w:r>
        <w:rPr>
          <w:b/>
          <w:bCs/>
          <w:iCs/>
        </w:rPr>
        <w:t xml:space="preserve"> parameter </w:t>
      </w:r>
      <w:r w:rsidRPr="00570E8B">
        <w:rPr>
          <w:rFonts w:hint="eastAsia"/>
          <w:b/>
          <w:bCs/>
          <w:i/>
        </w:rPr>
        <w:t>nrs-Power</w:t>
      </w:r>
      <w:r w:rsidRPr="00570E8B">
        <w:rPr>
          <w:b/>
          <w:bCs/>
          <w:i/>
        </w:rPr>
        <w:t>Offset</w:t>
      </w:r>
      <w:r w:rsidRPr="00570E8B">
        <w:rPr>
          <w:rFonts w:hint="eastAsia"/>
          <w:b/>
          <w:bCs/>
          <w:i/>
        </w:rPr>
        <w:t>NonAnchor</w:t>
      </w:r>
      <w:r>
        <w:rPr>
          <w:b/>
          <w:bCs/>
          <w:i/>
        </w:rPr>
        <w:t xml:space="preserve"> </w:t>
      </w:r>
      <w:r>
        <w:rPr>
          <w:b/>
          <w:bCs/>
          <w:iCs/>
        </w:rPr>
        <w:t xml:space="preserve">to be used. No new parameter needs to be defined or signalled. </w:t>
      </w:r>
    </w:p>
    <w:p w14:paraId="3C8B37DC" w14:textId="32035C4B" w:rsidR="0005391F" w:rsidRPr="0005391F" w:rsidRDefault="0005391F" w:rsidP="0005391F">
      <w:pPr>
        <w:rPr>
          <w:b/>
          <w:iCs/>
          <w:szCs w:val="18"/>
          <w:lang w:val="en-US"/>
        </w:rPr>
      </w:pPr>
      <w:r w:rsidRPr="00F92E37">
        <w:rPr>
          <w:b/>
        </w:rPr>
        <w:t xml:space="preserve">Proposal </w:t>
      </w:r>
      <w:r>
        <w:rPr>
          <w:b/>
        </w:rPr>
        <w:t>2</w:t>
      </w:r>
      <w:r w:rsidRPr="00F92E37">
        <w:rPr>
          <w:b/>
        </w:rPr>
        <w:t xml:space="preserve">. </w:t>
      </w:r>
      <w:r w:rsidRPr="00F92E37">
        <w:rPr>
          <w:b/>
          <w:iCs/>
          <w:szCs w:val="18"/>
          <w:lang w:val="en-US"/>
        </w:rPr>
        <w:t xml:space="preserve">With the presence of NRS on the non-anchor carrier even in the absence of paging </w:t>
      </w:r>
      <w:r>
        <w:rPr>
          <w:b/>
          <w:iCs/>
          <w:szCs w:val="18"/>
          <w:lang w:val="en-US"/>
        </w:rPr>
        <w:t>transmissions</w:t>
      </w:r>
      <w:r w:rsidRPr="00F92E37">
        <w:rPr>
          <w:b/>
          <w:iCs/>
          <w:szCs w:val="18"/>
          <w:lang w:val="en-US"/>
        </w:rPr>
        <w:t xml:space="preserve"> in R16, NW to permit </w:t>
      </w:r>
      <w:r>
        <w:rPr>
          <w:b/>
          <w:iCs/>
          <w:szCs w:val="18"/>
          <w:lang w:val="en-US"/>
        </w:rPr>
        <w:t xml:space="preserve">NRSRP </w:t>
      </w:r>
      <w:r w:rsidRPr="00F92E37">
        <w:rPr>
          <w:b/>
          <w:iCs/>
          <w:szCs w:val="18"/>
          <w:lang w:val="en-US"/>
        </w:rPr>
        <w:t xml:space="preserve">serving cell measurements on the non-anchor carrier. Serving cell measurements on the non-anchor carrier can be performed in addition to legacy serving cell measurements on the anchor carrier. </w:t>
      </w:r>
    </w:p>
    <w:p w14:paraId="21AC2988" w14:textId="77777777" w:rsidR="0005391F" w:rsidRPr="00E72D11" w:rsidRDefault="0005391F" w:rsidP="0005391F">
      <w:pPr>
        <w:rPr>
          <w:b/>
          <w:iCs/>
          <w:szCs w:val="18"/>
          <w:lang w:val="en-US"/>
        </w:rPr>
      </w:pPr>
      <w:r w:rsidRPr="00E72D11">
        <w:rPr>
          <w:b/>
          <w:iCs/>
          <w:szCs w:val="14"/>
        </w:rPr>
        <w:t xml:space="preserve">Proposal </w:t>
      </w:r>
      <w:r>
        <w:rPr>
          <w:b/>
          <w:iCs/>
          <w:szCs w:val="14"/>
        </w:rPr>
        <w:t>3</w:t>
      </w:r>
      <w:r w:rsidRPr="00E72D11">
        <w:rPr>
          <w:b/>
          <w:iCs/>
          <w:szCs w:val="14"/>
        </w:rPr>
        <w:t xml:space="preserve">. </w:t>
      </w:r>
      <w:r w:rsidRPr="00E72D11">
        <w:rPr>
          <w:b/>
          <w:iCs/>
          <w:szCs w:val="18"/>
          <w:lang w:val="en-US"/>
        </w:rPr>
        <w:t>In the non-relaxed monitoring state (default state), UE:</w:t>
      </w:r>
    </w:p>
    <w:p w14:paraId="64C20B30" w14:textId="77777777" w:rsidR="0005391F" w:rsidRPr="00407511" w:rsidRDefault="0005391F" w:rsidP="0005391F">
      <w:pPr>
        <w:pStyle w:val="ListParagraph"/>
        <w:numPr>
          <w:ilvl w:val="0"/>
          <w:numId w:val="38"/>
        </w:numPr>
        <w:rPr>
          <w:b/>
          <w:iCs/>
          <w:sz w:val="20"/>
          <w:szCs w:val="20"/>
        </w:rPr>
      </w:pPr>
      <w:r w:rsidRPr="00407511">
        <w:rPr>
          <w:b/>
          <w:iCs/>
          <w:sz w:val="20"/>
          <w:szCs w:val="20"/>
        </w:rPr>
        <w:t>UE performs neighbour cell measurements in anchor carrier</w:t>
      </w:r>
    </w:p>
    <w:p w14:paraId="033426E7" w14:textId="77777777" w:rsidR="0005391F" w:rsidRPr="00407511" w:rsidRDefault="0005391F" w:rsidP="0005391F">
      <w:pPr>
        <w:pStyle w:val="ListParagraph"/>
        <w:numPr>
          <w:ilvl w:val="0"/>
          <w:numId w:val="38"/>
        </w:numPr>
        <w:rPr>
          <w:b/>
          <w:iCs/>
          <w:sz w:val="20"/>
          <w:szCs w:val="20"/>
        </w:rPr>
      </w:pPr>
      <w:r w:rsidRPr="00407511">
        <w:rPr>
          <w:b/>
          <w:iCs/>
          <w:sz w:val="20"/>
          <w:szCs w:val="20"/>
        </w:rPr>
        <w:t>UE performs serving cell measurements in anchor carrier</w:t>
      </w:r>
    </w:p>
    <w:p w14:paraId="02C52611" w14:textId="77777777" w:rsidR="0005391F" w:rsidRPr="00407511" w:rsidRDefault="0005391F" w:rsidP="0005391F">
      <w:pPr>
        <w:pStyle w:val="ListParagraph"/>
        <w:numPr>
          <w:ilvl w:val="0"/>
          <w:numId w:val="38"/>
        </w:numPr>
        <w:rPr>
          <w:b/>
          <w:iCs/>
          <w:sz w:val="20"/>
          <w:szCs w:val="20"/>
        </w:rPr>
      </w:pPr>
      <w:r w:rsidRPr="00407511">
        <w:rPr>
          <w:b/>
          <w:iCs/>
          <w:sz w:val="20"/>
          <w:szCs w:val="20"/>
        </w:rPr>
        <w:t>UE may perform serving cell NRSRP measurements in non-anchor carrier</w:t>
      </w:r>
    </w:p>
    <w:p w14:paraId="60520BDB" w14:textId="77777777" w:rsidR="0005391F" w:rsidRPr="00407511" w:rsidRDefault="0005391F" w:rsidP="0005391F">
      <w:pPr>
        <w:pStyle w:val="ListParagraph"/>
        <w:numPr>
          <w:ilvl w:val="0"/>
          <w:numId w:val="38"/>
        </w:numPr>
        <w:rPr>
          <w:b/>
          <w:iCs/>
          <w:sz w:val="20"/>
          <w:szCs w:val="20"/>
        </w:rPr>
      </w:pPr>
      <w:r w:rsidRPr="00407511">
        <w:rPr>
          <w:b/>
          <w:iCs/>
          <w:sz w:val="20"/>
          <w:szCs w:val="20"/>
        </w:rPr>
        <w:t xml:space="preserve">UE translates non-anchor carrier NRSRP measurement to equivalent anchor carrier NRSRP measurement using parameter </w:t>
      </w:r>
      <w:r w:rsidRPr="00407511">
        <w:rPr>
          <w:rFonts w:hint="eastAsia"/>
          <w:b/>
          <w:i/>
          <w:sz w:val="20"/>
          <w:szCs w:val="20"/>
        </w:rPr>
        <w:t>nrs-Power</w:t>
      </w:r>
      <w:r w:rsidRPr="00407511">
        <w:rPr>
          <w:b/>
          <w:i/>
          <w:sz w:val="20"/>
          <w:szCs w:val="20"/>
        </w:rPr>
        <w:t>Offset</w:t>
      </w:r>
      <w:r w:rsidRPr="00407511">
        <w:rPr>
          <w:rFonts w:hint="eastAsia"/>
          <w:b/>
          <w:i/>
          <w:sz w:val="20"/>
          <w:szCs w:val="20"/>
        </w:rPr>
        <w:t>NonAnchor</w:t>
      </w:r>
      <w:r w:rsidRPr="00407511">
        <w:rPr>
          <w:b/>
          <w:i/>
          <w:sz w:val="20"/>
          <w:szCs w:val="20"/>
        </w:rPr>
        <w:t xml:space="preserve"> </w:t>
      </w:r>
      <w:r w:rsidRPr="00407511">
        <w:rPr>
          <w:b/>
          <w:iCs/>
          <w:sz w:val="20"/>
          <w:szCs w:val="20"/>
        </w:rPr>
        <w:t xml:space="preserve">for procedures requiring anchor carrier NRSRP measurement  </w:t>
      </w:r>
    </w:p>
    <w:p w14:paraId="469DAB71" w14:textId="77777777" w:rsidR="0005391F" w:rsidRPr="00407511" w:rsidRDefault="0005391F" w:rsidP="0005391F">
      <w:pPr>
        <w:rPr>
          <w:b/>
          <w:iCs/>
          <w:szCs w:val="14"/>
        </w:rPr>
      </w:pPr>
    </w:p>
    <w:p w14:paraId="2BA630D5" w14:textId="77777777" w:rsidR="0005391F" w:rsidRPr="0005391F" w:rsidRDefault="0005391F" w:rsidP="0005391F">
      <w:pPr>
        <w:rPr>
          <w:lang w:val="en-US"/>
        </w:rPr>
      </w:pPr>
    </w:p>
    <w:p w14:paraId="2972C38C" w14:textId="77777777" w:rsidR="0005391F" w:rsidRPr="004E2D90" w:rsidRDefault="0005391F" w:rsidP="0005391F">
      <w:pPr>
        <w:rPr>
          <w:b/>
          <w:bCs/>
          <w:iCs/>
          <w:szCs w:val="18"/>
        </w:rPr>
      </w:pPr>
      <w:r w:rsidRPr="004E2D90">
        <w:rPr>
          <w:b/>
          <w:bCs/>
          <w:iCs/>
        </w:rPr>
        <w:t xml:space="preserve">Proposal 4. </w:t>
      </w:r>
      <w:r w:rsidRPr="004E2D90">
        <w:rPr>
          <w:b/>
          <w:bCs/>
          <w:iCs/>
          <w:szCs w:val="18"/>
        </w:rPr>
        <w:t>Based on the evaluation of the relaxed monitoring conditions as introduced in Release 14, UE can enter a relaxed monitoring state wherein UE:</w:t>
      </w:r>
    </w:p>
    <w:p w14:paraId="32C49A8A" w14:textId="77777777" w:rsidR="0005391F" w:rsidRPr="004E2D90" w:rsidRDefault="0005391F" w:rsidP="0005391F">
      <w:pPr>
        <w:pStyle w:val="ListParagraph"/>
        <w:numPr>
          <w:ilvl w:val="0"/>
          <w:numId w:val="39"/>
        </w:numPr>
        <w:rPr>
          <w:b/>
          <w:bCs/>
          <w:iCs/>
          <w:sz w:val="20"/>
          <w:szCs w:val="14"/>
        </w:rPr>
      </w:pPr>
      <w:r w:rsidRPr="004E2D90">
        <w:rPr>
          <w:b/>
          <w:bCs/>
          <w:iCs/>
          <w:sz w:val="20"/>
          <w:szCs w:val="14"/>
        </w:rPr>
        <w:t>Stops monitoring neighbor cells</w:t>
      </w:r>
    </w:p>
    <w:p w14:paraId="3B698151" w14:textId="77777777" w:rsidR="0005391F" w:rsidRPr="004E2D90" w:rsidRDefault="0005391F" w:rsidP="0005391F">
      <w:pPr>
        <w:pStyle w:val="ListParagraph"/>
        <w:numPr>
          <w:ilvl w:val="0"/>
          <w:numId w:val="39"/>
        </w:numPr>
        <w:rPr>
          <w:b/>
          <w:bCs/>
          <w:iCs/>
          <w:sz w:val="20"/>
          <w:szCs w:val="14"/>
        </w:rPr>
      </w:pPr>
      <w:r w:rsidRPr="004E2D90">
        <w:rPr>
          <w:b/>
          <w:bCs/>
          <w:iCs/>
          <w:sz w:val="20"/>
          <w:szCs w:val="14"/>
        </w:rPr>
        <w:t>May stop performing measurements on anchor carrier</w:t>
      </w:r>
    </w:p>
    <w:p w14:paraId="5992CA74" w14:textId="77777777" w:rsidR="0005391F" w:rsidRPr="004E2D90" w:rsidRDefault="0005391F" w:rsidP="0005391F">
      <w:pPr>
        <w:pStyle w:val="ListParagraph"/>
        <w:numPr>
          <w:ilvl w:val="0"/>
          <w:numId w:val="39"/>
        </w:numPr>
        <w:rPr>
          <w:b/>
          <w:bCs/>
          <w:iCs/>
          <w:sz w:val="20"/>
          <w:szCs w:val="14"/>
        </w:rPr>
      </w:pPr>
      <w:r w:rsidRPr="004E2D90">
        <w:rPr>
          <w:b/>
          <w:bCs/>
          <w:iCs/>
          <w:sz w:val="20"/>
          <w:szCs w:val="14"/>
        </w:rPr>
        <w:t>May continue to perform measurements only on the non-anchor carrier</w:t>
      </w:r>
    </w:p>
    <w:p w14:paraId="6F6DAFA9" w14:textId="77777777" w:rsidR="0005391F" w:rsidRPr="004E2D90" w:rsidRDefault="0005391F" w:rsidP="0005391F">
      <w:pPr>
        <w:pStyle w:val="ListParagraph"/>
        <w:numPr>
          <w:ilvl w:val="0"/>
          <w:numId w:val="39"/>
        </w:numPr>
        <w:rPr>
          <w:b/>
          <w:bCs/>
          <w:iCs/>
          <w:sz w:val="20"/>
          <w:szCs w:val="20"/>
        </w:rPr>
      </w:pPr>
      <w:r w:rsidRPr="004E2D90">
        <w:rPr>
          <w:b/>
          <w:bCs/>
          <w:iCs/>
          <w:sz w:val="20"/>
          <w:szCs w:val="14"/>
        </w:rPr>
        <w:t xml:space="preserve">May continue to evaluate relaxed monitoring conditions using non-anchor carrier NRSRP measurements and </w:t>
      </w:r>
      <w:r w:rsidRPr="004E2D90">
        <w:rPr>
          <w:rFonts w:hint="eastAsia"/>
          <w:b/>
          <w:bCs/>
          <w:i/>
          <w:sz w:val="20"/>
          <w:szCs w:val="20"/>
        </w:rPr>
        <w:t>nrs-Power</w:t>
      </w:r>
      <w:r w:rsidRPr="004E2D90">
        <w:rPr>
          <w:b/>
          <w:bCs/>
          <w:i/>
          <w:sz w:val="20"/>
          <w:szCs w:val="20"/>
        </w:rPr>
        <w:t>Offset</w:t>
      </w:r>
      <w:r w:rsidRPr="004E2D90">
        <w:rPr>
          <w:rFonts w:hint="eastAsia"/>
          <w:b/>
          <w:bCs/>
          <w:i/>
          <w:sz w:val="20"/>
          <w:szCs w:val="20"/>
        </w:rPr>
        <w:t>NonAnchor</w:t>
      </w:r>
      <w:r w:rsidRPr="004E2D90">
        <w:rPr>
          <w:b/>
          <w:bCs/>
          <w:i/>
          <w:sz w:val="20"/>
          <w:szCs w:val="20"/>
        </w:rPr>
        <w:t xml:space="preserve"> </w:t>
      </w:r>
      <w:r w:rsidRPr="004E2D90">
        <w:rPr>
          <w:b/>
          <w:bCs/>
          <w:iCs/>
          <w:sz w:val="20"/>
          <w:szCs w:val="20"/>
        </w:rPr>
        <w:t>for translation to their equivalent NRSRP in anchor carrier</w:t>
      </w:r>
    </w:p>
    <w:p w14:paraId="5DF8D955" w14:textId="77777777" w:rsidR="0005391F" w:rsidRPr="004E2D90" w:rsidRDefault="0005391F" w:rsidP="0005391F">
      <w:pPr>
        <w:rPr>
          <w:b/>
          <w:bCs/>
          <w:iCs/>
        </w:rPr>
      </w:pPr>
    </w:p>
    <w:p w14:paraId="2EB6844C" w14:textId="77777777" w:rsidR="0005391F" w:rsidRPr="004E2D90" w:rsidRDefault="0005391F" w:rsidP="0005391F">
      <w:pPr>
        <w:rPr>
          <w:b/>
          <w:bCs/>
          <w:iCs/>
        </w:rPr>
      </w:pPr>
      <w:r w:rsidRPr="004E2D90">
        <w:rPr>
          <w:b/>
          <w:bCs/>
          <w:iCs/>
        </w:rPr>
        <w:t xml:space="preserve">Exiting this state will be based on NRSRP measurements not fulfilling the relaxed conditions. </w:t>
      </w:r>
    </w:p>
    <w:p w14:paraId="5DB5FB33" w14:textId="77777777" w:rsidR="0005391F" w:rsidRPr="0005391F" w:rsidRDefault="0005391F" w:rsidP="0005391F">
      <w:pPr>
        <w:rPr>
          <w:lang w:val="en-US"/>
        </w:rPr>
      </w:pPr>
    </w:p>
    <w:p w14:paraId="4B7C0144" w14:textId="361F6013" w:rsidR="00804DAC" w:rsidRPr="0005391F" w:rsidRDefault="0005391F" w:rsidP="00804DAC">
      <w:pPr>
        <w:rPr>
          <w:b/>
          <w:lang w:val="en-US"/>
        </w:rPr>
      </w:pPr>
      <w:r w:rsidRPr="0005391F">
        <w:rPr>
          <w:b/>
          <w:iCs/>
        </w:rPr>
        <w:t xml:space="preserve">Proposal 5. While UE is in relaxed monitoring state and performing measurements on non-anchor carrier, it may occasionally perform search/measurement on anchor carrier (e.g., for frequency synchronization). The rate at which this is done is left to UE implementation. </w:t>
      </w:r>
    </w:p>
    <w:p w14:paraId="0C633F9D" w14:textId="77777777" w:rsidR="00797CE5" w:rsidRDefault="00797CE5" w:rsidP="006050F7">
      <w:pPr>
        <w:pStyle w:val="Heading1"/>
        <w:numPr>
          <w:ilvl w:val="0"/>
          <w:numId w:val="0"/>
        </w:numPr>
        <w:rPr>
          <w:lang w:val="en-US"/>
        </w:rPr>
      </w:pPr>
      <w:r>
        <w:rPr>
          <w:lang w:val="en-US"/>
        </w:rPr>
        <w:t>References</w:t>
      </w:r>
    </w:p>
    <w:p w14:paraId="7B142946" w14:textId="7EF3D734" w:rsidR="00BF31AD" w:rsidRDefault="00861C44" w:rsidP="00797CE5">
      <w:pPr>
        <w:rPr>
          <w:lang w:val="en-US"/>
        </w:rPr>
      </w:pPr>
      <w:r>
        <w:rPr>
          <w:lang w:val="en-US"/>
        </w:rPr>
        <w:t>[1] R4-1910575</w:t>
      </w:r>
    </w:p>
    <w:p w14:paraId="6B93E3D8" w14:textId="696C9B5D" w:rsidR="00861C44" w:rsidRDefault="00861C44" w:rsidP="00797CE5">
      <w:pPr>
        <w:rPr>
          <w:lang w:val="en-US"/>
        </w:rPr>
      </w:pPr>
      <w:r>
        <w:rPr>
          <w:lang w:val="en-US"/>
        </w:rPr>
        <w:t>[2] R4-</w:t>
      </w:r>
      <w:r w:rsidR="0096375B">
        <w:rPr>
          <w:lang w:val="en-US"/>
        </w:rPr>
        <w:t>1907735</w:t>
      </w:r>
    </w:p>
    <w:p w14:paraId="06912717" w14:textId="58D5657B" w:rsidR="0096375B" w:rsidRDefault="0096375B" w:rsidP="00797CE5">
      <w:pPr>
        <w:rPr>
          <w:lang w:val="en-US"/>
        </w:rPr>
      </w:pPr>
      <w:r>
        <w:rPr>
          <w:lang w:val="en-US"/>
        </w:rPr>
        <w:t>[3] R4-1908486</w:t>
      </w:r>
    </w:p>
    <w:sectPr w:rsidR="0096375B"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4AD64" w14:textId="77777777" w:rsidR="00A42789" w:rsidRDefault="00A42789">
      <w:r>
        <w:separator/>
      </w:r>
    </w:p>
  </w:endnote>
  <w:endnote w:type="continuationSeparator" w:id="0">
    <w:p w14:paraId="0A7E7F55" w14:textId="77777777" w:rsidR="00A42789" w:rsidRDefault="00A4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C32BE" w14:textId="77777777" w:rsidR="00A42789" w:rsidRDefault="00A42789">
      <w:r>
        <w:separator/>
      </w:r>
    </w:p>
  </w:footnote>
  <w:footnote w:type="continuationSeparator" w:id="0">
    <w:p w14:paraId="410D8E45" w14:textId="77777777" w:rsidR="00A42789" w:rsidRDefault="00A42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C44F8"/>
    <w:multiLevelType w:val="hybridMultilevel"/>
    <w:tmpl w:val="2A1CC474"/>
    <w:lvl w:ilvl="0" w:tplc="11C2A218">
      <w:start w:val="1"/>
      <w:numFmt w:val="bullet"/>
      <w:lvlText w:val=""/>
      <w:lvlJc w:val="left"/>
      <w:pPr>
        <w:ind w:left="720" w:hanging="360"/>
      </w:pPr>
      <w:rPr>
        <w:rFonts w:ascii="Symbol" w:hAnsi="Symbol" w:hint="default"/>
        <w:sz w:val="20"/>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5B2ECF"/>
    <w:multiLevelType w:val="hybridMultilevel"/>
    <w:tmpl w:val="D196255C"/>
    <w:lvl w:ilvl="0" w:tplc="A128E532">
      <w:start w:val="1"/>
      <w:numFmt w:val="bullet"/>
      <w:lvlText w:val="•"/>
      <w:lvlJc w:val="left"/>
      <w:pPr>
        <w:tabs>
          <w:tab w:val="num" w:pos="720"/>
        </w:tabs>
        <w:ind w:left="720" w:hanging="360"/>
      </w:pPr>
      <w:rPr>
        <w:rFonts w:ascii="Arial" w:hAnsi="Arial" w:hint="default"/>
      </w:rPr>
    </w:lvl>
    <w:lvl w:ilvl="1" w:tplc="45B24A08">
      <w:start w:val="334"/>
      <w:numFmt w:val="bullet"/>
      <w:lvlText w:val="•"/>
      <w:lvlJc w:val="left"/>
      <w:pPr>
        <w:tabs>
          <w:tab w:val="num" w:pos="1440"/>
        </w:tabs>
        <w:ind w:left="1440" w:hanging="360"/>
      </w:pPr>
      <w:rPr>
        <w:rFonts w:ascii="Arial" w:hAnsi="Arial" w:hint="default"/>
      </w:rPr>
    </w:lvl>
    <w:lvl w:ilvl="2" w:tplc="780AA6AE" w:tentative="1">
      <w:start w:val="1"/>
      <w:numFmt w:val="bullet"/>
      <w:lvlText w:val="•"/>
      <w:lvlJc w:val="left"/>
      <w:pPr>
        <w:tabs>
          <w:tab w:val="num" w:pos="2160"/>
        </w:tabs>
        <w:ind w:left="2160" w:hanging="360"/>
      </w:pPr>
      <w:rPr>
        <w:rFonts w:ascii="Arial" w:hAnsi="Arial" w:hint="default"/>
      </w:rPr>
    </w:lvl>
    <w:lvl w:ilvl="3" w:tplc="120EE44E" w:tentative="1">
      <w:start w:val="1"/>
      <w:numFmt w:val="bullet"/>
      <w:lvlText w:val="•"/>
      <w:lvlJc w:val="left"/>
      <w:pPr>
        <w:tabs>
          <w:tab w:val="num" w:pos="2880"/>
        </w:tabs>
        <w:ind w:left="2880" w:hanging="360"/>
      </w:pPr>
      <w:rPr>
        <w:rFonts w:ascii="Arial" w:hAnsi="Arial" w:hint="default"/>
      </w:rPr>
    </w:lvl>
    <w:lvl w:ilvl="4" w:tplc="37200D58" w:tentative="1">
      <w:start w:val="1"/>
      <w:numFmt w:val="bullet"/>
      <w:lvlText w:val="•"/>
      <w:lvlJc w:val="left"/>
      <w:pPr>
        <w:tabs>
          <w:tab w:val="num" w:pos="3600"/>
        </w:tabs>
        <w:ind w:left="3600" w:hanging="360"/>
      </w:pPr>
      <w:rPr>
        <w:rFonts w:ascii="Arial" w:hAnsi="Arial" w:hint="default"/>
      </w:rPr>
    </w:lvl>
    <w:lvl w:ilvl="5" w:tplc="43D8191A" w:tentative="1">
      <w:start w:val="1"/>
      <w:numFmt w:val="bullet"/>
      <w:lvlText w:val="•"/>
      <w:lvlJc w:val="left"/>
      <w:pPr>
        <w:tabs>
          <w:tab w:val="num" w:pos="4320"/>
        </w:tabs>
        <w:ind w:left="4320" w:hanging="360"/>
      </w:pPr>
      <w:rPr>
        <w:rFonts w:ascii="Arial" w:hAnsi="Arial" w:hint="default"/>
      </w:rPr>
    </w:lvl>
    <w:lvl w:ilvl="6" w:tplc="79B453C8" w:tentative="1">
      <w:start w:val="1"/>
      <w:numFmt w:val="bullet"/>
      <w:lvlText w:val="•"/>
      <w:lvlJc w:val="left"/>
      <w:pPr>
        <w:tabs>
          <w:tab w:val="num" w:pos="5040"/>
        </w:tabs>
        <w:ind w:left="5040" w:hanging="360"/>
      </w:pPr>
      <w:rPr>
        <w:rFonts w:ascii="Arial" w:hAnsi="Arial" w:hint="default"/>
      </w:rPr>
    </w:lvl>
    <w:lvl w:ilvl="7" w:tplc="8BC0E9F8" w:tentative="1">
      <w:start w:val="1"/>
      <w:numFmt w:val="bullet"/>
      <w:lvlText w:val="•"/>
      <w:lvlJc w:val="left"/>
      <w:pPr>
        <w:tabs>
          <w:tab w:val="num" w:pos="5760"/>
        </w:tabs>
        <w:ind w:left="5760" w:hanging="360"/>
      </w:pPr>
      <w:rPr>
        <w:rFonts w:ascii="Arial" w:hAnsi="Arial" w:hint="default"/>
      </w:rPr>
    </w:lvl>
    <w:lvl w:ilvl="8" w:tplc="95C4F2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30A51"/>
    <w:multiLevelType w:val="hybridMultilevel"/>
    <w:tmpl w:val="D714B744"/>
    <w:lvl w:ilvl="0" w:tplc="43F2199E">
      <w:start w:val="1"/>
      <w:numFmt w:val="bullet"/>
      <w:lvlText w:val="•"/>
      <w:lvlJc w:val="left"/>
      <w:pPr>
        <w:tabs>
          <w:tab w:val="num" w:pos="720"/>
        </w:tabs>
        <w:ind w:left="720" w:hanging="360"/>
      </w:pPr>
      <w:rPr>
        <w:rFonts w:ascii="Arial" w:hAnsi="Arial" w:hint="default"/>
      </w:rPr>
    </w:lvl>
    <w:lvl w:ilvl="1" w:tplc="20E40CCE">
      <w:start w:val="3972"/>
      <w:numFmt w:val="bullet"/>
      <w:lvlText w:val="–"/>
      <w:lvlJc w:val="left"/>
      <w:pPr>
        <w:tabs>
          <w:tab w:val="num" w:pos="1440"/>
        </w:tabs>
        <w:ind w:left="1440" w:hanging="360"/>
      </w:pPr>
      <w:rPr>
        <w:rFonts w:ascii="Arial" w:hAnsi="Arial" w:hint="default"/>
      </w:rPr>
    </w:lvl>
    <w:lvl w:ilvl="2" w:tplc="804663DC" w:tentative="1">
      <w:start w:val="1"/>
      <w:numFmt w:val="bullet"/>
      <w:lvlText w:val="•"/>
      <w:lvlJc w:val="left"/>
      <w:pPr>
        <w:tabs>
          <w:tab w:val="num" w:pos="2160"/>
        </w:tabs>
        <w:ind w:left="2160" w:hanging="360"/>
      </w:pPr>
      <w:rPr>
        <w:rFonts w:ascii="Arial" w:hAnsi="Arial" w:hint="default"/>
      </w:rPr>
    </w:lvl>
    <w:lvl w:ilvl="3" w:tplc="4378B292" w:tentative="1">
      <w:start w:val="1"/>
      <w:numFmt w:val="bullet"/>
      <w:lvlText w:val="•"/>
      <w:lvlJc w:val="left"/>
      <w:pPr>
        <w:tabs>
          <w:tab w:val="num" w:pos="2880"/>
        </w:tabs>
        <w:ind w:left="2880" w:hanging="360"/>
      </w:pPr>
      <w:rPr>
        <w:rFonts w:ascii="Arial" w:hAnsi="Arial" w:hint="default"/>
      </w:rPr>
    </w:lvl>
    <w:lvl w:ilvl="4" w:tplc="1E82C1B8" w:tentative="1">
      <w:start w:val="1"/>
      <w:numFmt w:val="bullet"/>
      <w:lvlText w:val="•"/>
      <w:lvlJc w:val="left"/>
      <w:pPr>
        <w:tabs>
          <w:tab w:val="num" w:pos="3600"/>
        </w:tabs>
        <w:ind w:left="3600" w:hanging="360"/>
      </w:pPr>
      <w:rPr>
        <w:rFonts w:ascii="Arial" w:hAnsi="Arial" w:hint="default"/>
      </w:rPr>
    </w:lvl>
    <w:lvl w:ilvl="5" w:tplc="227C7B7A" w:tentative="1">
      <w:start w:val="1"/>
      <w:numFmt w:val="bullet"/>
      <w:lvlText w:val="•"/>
      <w:lvlJc w:val="left"/>
      <w:pPr>
        <w:tabs>
          <w:tab w:val="num" w:pos="4320"/>
        </w:tabs>
        <w:ind w:left="4320" w:hanging="360"/>
      </w:pPr>
      <w:rPr>
        <w:rFonts w:ascii="Arial" w:hAnsi="Arial" w:hint="default"/>
      </w:rPr>
    </w:lvl>
    <w:lvl w:ilvl="6" w:tplc="882EDEB4" w:tentative="1">
      <w:start w:val="1"/>
      <w:numFmt w:val="bullet"/>
      <w:lvlText w:val="•"/>
      <w:lvlJc w:val="left"/>
      <w:pPr>
        <w:tabs>
          <w:tab w:val="num" w:pos="5040"/>
        </w:tabs>
        <w:ind w:left="5040" w:hanging="360"/>
      </w:pPr>
      <w:rPr>
        <w:rFonts w:ascii="Arial" w:hAnsi="Arial" w:hint="default"/>
      </w:rPr>
    </w:lvl>
    <w:lvl w:ilvl="7" w:tplc="54B07798" w:tentative="1">
      <w:start w:val="1"/>
      <w:numFmt w:val="bullet"/>
      <w:lvlText w:val="•"/>
      <w:lvlJc w:val="left"/>
      <w:pPr>
        <w:tabs>
          <w:tab w:val="num" w:pos="5760"/>
        </w:tabs>
        <w:ind w:left="5760" w:hanging="360"/>
      </w:pPr>
      <w:rPr>
        <w:rFonts w:ascii="Arial" w:hAnsi="Arial" w:hint="default"/>
      </w:rPr>
    </w:lvl>
    <w:lvl w:ilvl="8" w:tplc="9E42BB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4" w15:restartNumberingAfterBreak="0">
    <w:nsid w:val="44A2504B"/>
    <w:multiLevelType w:val="hybridMultilevel"/>
    <w:tmpl w:val="09545750"/>
    <w:lvl w:ilvl="0" w:tplc="11C2A218">
      <w:start w:val="1"/>
      <w:numFmt w:val="bullet"/>
      <w:lvlText w:val=""/>
      <w:lvlJc w:val="left"/>
      <w:pPr>
        <w:ind w:left="720" w:hanging="360"/>
      </w:pPr>
      <w:rPr>
        <w:rFonts w:ascii="Symbol" w:hAnsi="Symbol" w:hint="default"/>
        <w:sz w:val="20"/>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35"/>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5"/>
  </w:num>
  <w:num w:numId="10">
    <w:abstractNumId w:val="5"/>
  </w:num>
  <w:num w:numId="11">
    <w:abstractNumId w:val="20"/>
  </w:num>
  <w:num w:numId="12">
    <w:abstractNumId w:val="8"/>
  </w:num>
  <w:num w:numId="13">
    <w:abstractNumId w:val="18"/>
  </w:num>
  <w:num w:numId="14">
    <w:abstractNumId w:val="2"/>
  </w:num>
  <w:num w:numId="15">
    <w:abstractNumId w:val="37"/>
  </w:num>
  <w:num w:numId="16">
    <w:abstractNumId w:val="29"/>
  </w:num>
  <w:num w:numId="17">
    <w:abstractNumId w:val="10"/>
  </w:num>
  <w:num w:numId="18">
    <w:abstractNumId w:val="36"/>
  </w:num>
  <w:num w:numId="19">
    <w:abstractNumId w:val="28"/>
  </w:num>
  <w:num w:numId="20">
    <w:abstractNumId w:val="17"/>
  </w:num>
  <w:num w:numId="21">
    <w:abstractNumId w:val="30"/>
  </w:num>
  <w:num w:numId="22">
    <w:abstractNumId w:val="27"/>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1"/>
  </w:num>
  <w:num w:numId="26">
    <w:abstractNumId w:val="34"/>
  </w:num>
  <w:num w:numId="27">
    <w:abstractNumId w:val="7"/>
  </w:num>
  <w:num w:numId="28">
    <w:abstractNumId w:val="32"/>
  </w:num>
  <w:num w:numId="29">
    <w:abstractNumId w:val="22"/>
  </w:num>
  <w:num w:numId="30">
    <w:abstractNumId w:val="16"/>
  </w:num>
  <w:num w:numId="31">
    <w:abstractNumId w:val="26"/>
  </w:num>
  <w:num w:numId="32">
    <w:abstractNumId w:val="11"/>
  </w:num>
  <w:num w:numId="33">
    <w:abstractNumId w:val="4"/>
  </w:num>
  <w:num w:numId="34">
    <w:abstractNumId w:val="15"/>
  </w:num>
  <w:num w:numId="35">
    <w:abstractNumId w:val="19"/>
  </w:num>
  <w:num w:numId="36">
    <w:abstractNumId w:val="13"/>
  </w:num>
  <w:num w:numId="37">
    <w:abstractNumId w:val="21"/>
  </w:num>
  <w:num w:numId="38">
    <w:abstractNumId w:val="24"/>
  </w:num>
  <w:num w:numId="3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91F"/>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31"/>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511"/>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D90"/>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2DD"/>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4CF"/>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C4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75B"/>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789"/>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4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16219269">
      <w:bodyDiv w:val="1"/>
      <w:marLeft w:val="0"/>
      <w:marRight w:val="0"/>
      <w:marTop w:val="0"/>
      <w:marBottom w:val="0"/>
      <w:divBdr>
        <w:top w:val="none" w:sz="0" w:space="0" w:color="auto"/>
        <w:left w:val="none" w:sz="0" w:space="0" w:color="auto"/>
        <w:bottom w:val="none" w:sz="0" w:space="0" w:color="auto"/>
        <w:right w:val="none" w:sz="0" w:space="0" w:color="auto"/>
      </w:divBdr>
      <w:divsChild>
        <w:div w:id="1303535371">
          <w:marLeft w:val="216"/>
          <w:marRight w:val="0"/>
          <w:marTop w:val="240"/>
          <w:marBottom w:val="0"/>
          <w:divBdr>
            <w:top w:val="none" w:sz="0" w:space="0" w:color="auto"/>
            <w:left w:val="none" w:sz="0" w:space="0" w:color="auto"/>
            <w:bottom w:val="none" w:sz="0" w:space="0" w:color="auto"/>
            <w:right w:val="none" w:sz="0" w:space="0" w:color="auto"/>
          </w:divBdr>
        </w:div>
        <w:div w:id="1148015040">
          <w:marLeft w:val="562"/>
          <w:marRight w:val="0"/>
          <w:marTop w:val="0"/>
          <w:marBottom w:val="0"/>
          <w:divBdr>
            <w:top w:val="none" w:sz="0" w:space="0" w:color="auto"/>
            <w:left w:val="none" w:sz="0" w:space="0" w:color="auto"/>
            <w:bottom w:val="none" w:sz="0" w:space="0" w:color="auto"/>
            <w:right w:val="none" w:sz="0" w:space="0" w:color="auto"/>
          </w:divBdr>
        </w:div>
        <w:div w:id="112789910">
          <w:marLeft w:val="562"/>
          <w:marRight w:val="0"/>
          <w:marTop w:val="0"/>
          <w:marBottom w:val="0"/>
          <w:divBdr>
            <w:top w:val="none" w:sz="0" w:space="0" w:color="auto"/>
            <w:left w:val="none" w:sz="0" w:space="0" w:color="auto"/>
            <w:bottom w:val="none" w:sz="0" w:space="0" w:color="auto"/>
            <w:right w:val="none" w:sz="0" w:space="0" w:color="auto"/>
          </w:divBdr>
        </w:div>
        <w:div w:id="1843928582">
          <w:marLeft w:val="562"/>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37700-78BB-490F-8C36-7A5DE97B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TotalTime>
  <Pages>4</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cp:revision>
  <cp:lastPrinted>2009-04-22T21:01:00Z</cp:lastPrinted>
  <dcterms:created xsi:type="dcterms:W3CDTF">2019-10-04T14:51:00Z</dcterms:created>
  <dcterms:modified xsi:type="dcterms:W3CDTF">2019-10-04T21:51:00Z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